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04FA8">
      <w:pPr>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延川县发展改革科技局关于生物质颗粒采购的相关情况说明</w:t>
      </w:r>
    </w:p>
    <w:p w14:paraId="1AADE670">
      <w:pPr>
        <w:jc w:val="center"/>
        <w:rPr>
          <w:rFonts w:hint="eastAsia" w:ascii="仿宋" w:hAnsi="仿宋" w:eastAsia="仿宋" w:cs="仿宋"/>
          <w:sz w:val="36"/>
          <w:szCs w:val="36"/>
          <w:lang w:val="en-US"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7457"/>
        <w:gridCol w:w="2506"/>
        <w:gridCol w:w="1050"/>
      </w:tblGrid>
      <w:tr w14:paraId="55B73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5" w:hRule="atLeast"/>
        </w:trPr>
        <w:tc>
          <w:tcPr>
            <w:tcW w:w="1281" w:type="dxa"/>
          </w:tcPr>
          <w:p w14:paraId="5BBE6A94">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名称</w:t>
            </w:r>
          </w:p>
        </w:tc>
        <w:tc>
          <w:tcPr>
            <w:tcW w:w="7457" w:type="dxa"/>
          </w:tcPr>
          <w:p w14:paraId="66DA8F6C">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规格参数</w:t>
            </w:r>
          </w:p>
        </w:tc>
        <w:tc>
          <w:tcPr>
            <w:tcW w:w="2506" w:type="dxa"/>
          </w:tcPr>
          <w:p w14:paraId="0454CA85">
            <w:pPr>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数量（吨）</w:t>
            </w:r>
          </w:p>
        </w:tc>
        <w:tc>
          <w:tcPr>
            <w:tcW w:w="1050" w:type="dxa"/>
          </w:tcPr>
          <w:p w14:paraId="499D9D0C">
            <w:pPr>
              <w:jc w:val="both"/>
              <w:rPr>
                <w:rFonts w:hint="eastAsia" w:ascii="仿宋" w:hAnsi="仿宋" w:eastAsia="仿宋" w:cs="仿宋"/>
                <w:sz w:val="30"/>
                <w:szCs w:val="30"/>
                <w:vertAlign w:val="baseline"/>
                <w:lang w:val="en-US" w:eastAsia="zh-CN"/>
              </w:rPr>
            </w:pPr>
            <w:r>
              <w:rPr>
                <w:rFonts w:hint="eastAsia" w:ascii="仿宋" w:hAnsi="仿宋" w:eastAsia="仿宋" w:cs="仿宋"/>
                <w:sz w:val="28"/>
                <w:szCs w:val="28"/>
                <w:vertAlign w:val="baseline"/>
                <w:lang w:val="en-US" w:eastAsia="zh-CN"/>
              </w:rPr>
              <w:t>备注</w:t>
            </w:r>
          </w:p>
        </w:tc>
      </w:tr>
      <w:tr w14:paraId="6AC52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1" w:hRule="atLeast"/>
        </w:trPr>
        <w:tc>
          <w:tcPr>
            <w:tcW w:w="1281" w:type="dxa"/>
          </w:tcPr>
          <w:p w14:paraId="0B5EFA3C">
            <w:pPr>
              <w:jc w:val="both"/>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生物质</w:t>
            </w:r>
          </w:p>
          <w:p w14:paraId="07F07C23">
            <w:pPr>
              <w:jc w:val="both"/>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颗粒</w:t>
            </w:r>
          </w:p>
          <w:p w14:paraId="5164699B">
            <w:pPr>
              <w:jc w:val="both"/>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（颗粒）</w:t>
            </w:r>
          </w:p>
        </w:tc>
        <w:tc>
          <w:tcPr>
            <w:tcW w:w="7457" w:type="dxa"/>
          </w:tcPr>
          <w:p w14:paraId="79457A24">
            <w:pPr>
              <w:jc w:val="left"/>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直径≤6mm，全水分Mt≤10%，空气干燥基灰分Aad≤5%，空气干燥基挥发分Vad应≥72.5%，空气干燥基全硫控制在≤0.05%，发热量分析基高位≥4300，收到基低位≥3900，燃烧值≥95%。</w:t>
            </w:r>
          </w:p>
        </w:tc>
        <w:tc>
          <w:tcPr>
            <w:tcW w:w="2506" w:type="dxa"/>
          </w:tcPr>
          <w:p w14:paraId="00201BCC">
            <w:pPr>
              <w:spacing w:line="480" w:lineRule="auto"/>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1200</w:t>
            </w:r>
          </w:p>
        </w:tc>
        <w:tc>
          <w:tcPr>
            <w:tcW w:w="1050" w:type="dxa"/>
          </w:tcPr>
          <w:p w14:paraId="320DAA37">
            <w:pPr>
              <w:spacing w:line="480" w:lineRule="auto"/>
              <w:jc w:val="center"/>
              <w:rPr>
                <w:rFonts w:hint="eastAsia" w:ascii="仿宋" w:hAnsi="仿宋" w:eastAsia="仿宋" w:cs="仿宋"/>
                <w:sz w:val="30"/>
                <w:szCs w:val="30"/>
                <w:vertAlign w:val="baseline"/>
                <w:lang w:val="en-US" w:eastAsia="zh-CN"/>
              </w:rPr>
            </w:pPr>
          </w:p>
        </w:tc>
      </w:tr>
      <w:tr w14:paraId="0805A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1" w:type="dxa"/>
          </w:tcPr>
          <w:p w14:paraId="3F502856">
            <w:pPr>
              <w:jc w:val="both"/>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生物质</w:t>
            </w:r>
          </w:p>
          <w:p w14:paraId="14E4B631">
            <w:pPr>
              <w:jc w:val="both"/>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颗粒</w:t>
            </w:r>
          </w:p>
          <w:p w14:paraId="597097C4">
            <w:pPr>
              <w:jc w:val="both"/>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（压块）</w:t>
            </w:r>
          </w:p>
        </w:tc>
        <w:tc>
          <w:tcPr>
            <w:tcW w:w="7457" w:type="dxa"/>
          </w:tcPr>
          <w:p w14:paraId="2B5D395D">
            <w:pPr>
              <w:jc w:val="left"/>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直径≥6mm，长度大于6CM，全水分Mt≤10%，空气干燥基灰分Aad≤5%，空气干燥基挥发分Vad应≥72.5%，空气干燥基全硫控制在≤0.05%，发热量分析基高位≥4300，收到基低位≥3750，燃烧值≥95%。</w:t>
            </w:r>
          </w:p>
        </w:tc>
        <w:tc>
          <w:tcPr>
            <w:tcW w:w="2506" w:type="dxa"/>
          </w:tcPr>
          <w:p w14:paraId="74FF82B0">
            <w:pPr>
              <w:spacing w:line="480" w:lineRule="auto"/>
              <w:jc w:val="center"/>
              <w:rPr>
                <w:rFonts w:hint="eastAsia" w:ascii="仿宋" w:hAnsi="仿宋" w:eastAsia="仿宋" w:cs="仿宋"/>
                <w:sz w:val="30"/>
                <w:szCs w:val="30"/>
                <w:vertAlign w:val="baseline"/>
                <w:lang w:val="en-US" w:eastAsia="zh-CN"/>
              </w:rPr>
            </w:pPr>
            <w:r>
              <w:rPr>
                <w:rFonts w:hint="eastAsia" w:ascii="仿宋" w:hAnsi="仿宋" w:eastAsia="仿宋" w:cs="仿宋"/>
                <w:sz w:val="30"/>
                <w:szCs w:val="30"/>
                <w:vertAlign w:val="baseline"/>
                <w:lang w:val="en-US" w:eastAsia="zh-CN"/>
              </w:rPr>
              <w:t>800</w:t>
            </w:r>
          </w:p>
        </w:tc>
        <w:tc>
          <w:tcPr>
            <w:tcW w:w="1050" w:type="dxa"/>
          </w:tcPr>
          <w:p w14:paraId="12474482">
            <w:pPr>
              <w:spacing w:line="480" w:lineRule="auto"/>
              <w:jc w:val="center"/>
              <w:rPr>
                <w:rFonts w:hint="eastAsia" w:ascii="仿宋" w:hAnsi="仿宋" w:eastAsia="仿宋" w:cs="仿宋"/>
                <w:sz w:val="30"/>
                <w:szCs w:val="30"/>
                <w:vertAlign w:val="baseline"/>
                <w:lang w:val="en-US" w:eastAsia="zh-CN"/>
              </w:rPr>
            </w:pPr>
          </w:p>
        </w:tc>
      </w:tr>
    </w:tbl>
    <w:p w14:paraId="41FA7DFD">
      <w:pPr>
        <w:ind w:leftChars="1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关于生物质颗粒采购的商务要求：</w:t>
      </w:r>
    </w:p>
    <w:p w14:paraId="7B6020CB">
      <w:pPr>
        <w:numPr>
          <w:ilvl w:val="0"/>
          <w:numId w:val="0"/>
        </w:numPr>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1.货款收款方式：根据相关政策规定，按照合同约定支付货款。</w:t>
      </w:r>
    </w:p>
    <w:p w14:paraId="1658C01A">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2.收货时效要求：货物分两批两年实施（每年交付600吨颗粒、400吨压块），签订采购合同后，一个月内交付第一批货物到指定地点。</w:t>
      </w:r>
    </w:p>
    <w:p w14:paraId="6D48BE00">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3.货物的包装及运输：要求每袋装25kg，依据各镇街采购生物质取暖炉花名册实际（甲方提供），自行将补助生物质颗粒运输并放发到村到户。</w:t>
      </w:r>
    </w:p>
    <w:p w14:paraId="1A214762">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4.根据采购生物质取暖炉花名册实际，要求供货商建立完善生物质颗粒发放台账。</w:t>
      </w:r>
    </w:p>
    <w:p w14:paraId="1A6ED524">
      <w:pPr>
        <w:numPr>
          <w:ilvl w:val="0"/>
          <w:numId w:val="0"/>
        </w:numPr>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5.货物的验收：按照采购清单规格参数对标供货商提供的产品检测报告对产品质量进行发货前的初验；按照供货商提供的生物质颗粒发放台账进行数量核验，待数据核验准确无误后，视为合同履行到位。</w:t>
      </w:r>
    </w:p>
    <w:sectPr>
      <w:pgSz w:w="16838" w:h="11906" w:orient="landscape"/>
      <w:pgMar w:top="1800" w:right="1213" w:bottom="1800" w:left="121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247731"/>
    <w:rsid w:val="1B5323C8"/>
    <w:rsid w:val="280653FC"/>
    <w:rsid w:val="473838DD"/>
    <w:rsid w:val="55A27DBD"/>
    <w:rsid w:val="5F311FB9"/>
    <w:rsid w:val="78B462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526</Words>
  <Characters>606</Characters>
  <Lines>0</Lines>
  <Paragraphs>0</Paragraphs>
  <TotalTime>131</TotalTime>
  <ScaleCrop>false</ScaleCrop>
  <LinksUpToDate>false</LinksUpToDate>
  <CharactersWithSpaces>612</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2024-12-16T02:38:00Z</dcterms:created>
  <dc:creator>Lenovo</dc:creator>
  <cp:lastModifiedBy>Mr.wang</cp:lastModifiedBy>
  <cp:lastPrinted>2024-12-16T10:41:00Z</cp:lastPrinted>
  <dcterms:modified xsi:type="dcterms:W3CDTF">2025-01-21T09:18:39Z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79E3CA5B0D8E46ADA1CB1A96D0BE5080_13</vt:lpwstr>
  </property>
  <property fmtid="{D5CDD505-2E9C-101B-9397-08002B2CF9AE}" pid="4" name="KSOTemplateDocerSaveRecord">
    <vt:lpwstr>eyJoZGlkIjoiMTkxOTg1YTUzZTQ0MzdmZTJiYjQ4NTZhNWIyNTE0MmEiLCJ1c2VySWQiOiI0NTE2NzQwMDMifQ==</vt:lpwstr>
  </property>
</Properties>
</file>