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outlineLvl w:val="1"/>
      </w:pPr>
      <w:r>
        <w:rPr>
          <w:rFonts w:ascii="仿宋_GB2312" w:hAnsi="仿宋_GB2312" w:eastAsia="仿宋_GB2312" w:cs="仿宋_GB2312"/>
          <w:b/>
          <w:sz w:val="36"/>
        </w:rPr>
        <w:t>第三章 技术、服务及其他要求</w:t>
      </w:r>
    </w:p>
    <w:p>
      <w:pPr>
        <w:pStyle w:val="4"/>
        <w:ind w:firstLine="480"/>
        <w:jc w:val="left"/>
      </w:pPr>
      <w:r>
        <w:rPr>
          <w:rFonts w:ascii="仿宋_GB2312" w:hAnsi="仿宋_GB2312" w:eastAsia="仿宋_GB2312" w:cs="仿宋_GB2312"/>
        </w:rPr>
        <w:t>（注：本章的技术、服务及其他要求中，带“★”的要求为实质性要求。采购人、代理机构应当根据项目实际要求合理设定，并在第五章符合性审查中明确响应要求。）</w:t>
      </w:r>
    </w:p>
    <w:p>
      <w:pPr>
        <w:pStyle w:val="4"/>
        <w:jc w:val="left"/>
        <w:outlineLvl w:val="2"/>
      </w:pPr>
      <w:r>
        <w:rPr>
          <w:rFonts w:ascii="仿宋_GB2312" w:hAnsi="仿宋_GB2312" w:eastAsia="仿宋_GB2312" w:cs="仿宋_GB2312"/>
          <w:b/>
          <w:sz w:val="28"/>
        </w:rPr>
        <w:t>3.1.采购内容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采购包预算金额（元）: 528,000.00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采购包最高限价（元）: 528,000.00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219"/>
        <w:gridCol w:w="758"/>
        <w:gridCol w:w="820"/>
        <w:gridCol w:w="1201"/>
        <w:gridCol w:w="726"/>
        <w:gridCol w:w="726"/>
        <w:gridCol w:w="726"/>
        <w:gridCol w:w="726"/>
        <w:gridCol w:w="587"/>
        <w:gridCol w:w="5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456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采购品目名称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数量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>(计量单位)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是否涉及核心产品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是否涉及采购进口产品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是否涉及强制采购节能产品</w:t>
            </w:r>
          </w:p>
        </w:tc>
        <w:tc>
          <w:tcPr>
            <w:tcW w:w="639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是否涉及优先采购节能产品</w:t>
            </w:r>
          </w:p>
        </w:tc>
        <w:tc>
          <w:tcPr>
            <w:tcW w:w="639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是否涉及优先采购环境标志产品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4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A02021103 LED 显示屏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室内LED大屏</w:t>
            </w:r>
          </w:p>
        </w:tc>
        <w:tc>
          <w:tcPr>
            <w:tcW w:w="821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1.00（台）</w:t>
            </w:r>
          </w:p>
        </w:tc>
        <w:tc>
          <w:tcPr>
            <w:tcW w:w="821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378,000.00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63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63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4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A02021103 LED 显示屏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室外LED大屏</w:t>
            </w:r>
          </w:p>
        </w:tc>
        <w:tc>
          <w:tcPr>
            <w:tcW w:w="821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1.00（台）</w:t>
            </w:r>
          </w:p>
        </w:tc>
        <w:tc>
          <w:tcPr>
            <w:tcW w:w="821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150,000.00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63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63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>
      <w:pPr>
        <w:pStyle w:val="4"/>
        <w:jc w:val="left"/>
        <w:outlineLvl w:val="3"/>
      </w:pPr>
      <w:r>
        <w:rPr>
          <w:rFonts w:ascii="仿宋_GB2312" w:hAnsi="仿宋_GB2312" w:eastAsia="仿宋_GB2312" w:cs="仿宋_GB2312"/>
          <w:b/>
          <w:sz w:val="24"/>
        </w:rPr>
        <w:t>报价要求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707"/>
        <w:gridCol w:w="1138"/>
        <w:gridCol w:w="1365"/>
        <w:gridCol w:w="1138"/>
        <w:gridCol w:w="19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024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707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报价内容</w:t>
            </w:r>
          </w:p>
        </w:tc>
        <w:tc>
          <w:tcPr>
            <w:tcW w:w="1138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数量（计量单位）</w:t>
            </w:r>
          </w:p>
        </w:tc>
        <w:tc>
          <w:tcPr>
            <w:tcW w:w="136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最高限价</w:t>
            </w:r>
          </w:p>
        </w:tc>
        <w:tc>
          <w:tcPr>
            <w:tcW w:w="1138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价款形式</w:t>
            </w:r>
          </w:p>
        </w:tc>
        <w:tc>
          <w:tcPr>
            <w:tcW w:w="1934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报价说明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024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707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室内LED大屏</w:t>
            </w:r>
          </w:p>
        </w:tc>
        <w:tc>
          <w:tcPr>
            <w:tcW w:w="1138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1.00（台）</w:t>
            </w:r>
          </w:p>
        </w:tc>
        <w:tc>
          <w:tcPr>
            <w:tcW w:w="136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378,000.00</w:t>
            </w:r>
          </w:p>
        </w:tc>
        <w:tc>
          <w:tcPr>
            <w:tcW w:w="1138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总价</w:t>
            </w:r>
          </w:p>
        </w:tc>
        <w:tc>
          <w:tcPr>
            <w:tcW w:w="193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024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707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室外LED大屏</w:t>
            </w:r>
          </w:p>
        </w:tc>
        <w:tc>
          <w:tcPr>
            <w:tcW w:w="1138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1.00（台）</w:t>
            </w:r>
          </w:p>
        </w:tc>
        <w:tc>
          <w:tcPr>
            <w:tcW w:w="136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150,000.00</w:t>
            </w:r>
          </w:p>
        </w:tc>
        <w:tc>
          <w:tcPr>
            <w:tcW w:w="1138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总价</w:t>
            </w:r>
          </w:p>
        </w:tc>
        <w:tc>
          <w:tcPr>
            <w:tcW w:w="193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无</w:t>
            </w:r>
          </w:p>
        </w:tc>
      </w:tr>
    </w:tbl>
    <w:p>
      <w:pPr>
        <w:pStyle w:val="4"/>
        <w:ind w:firstLine="480"/>
        <w:jc w:val="left"/>
      </w:pPr>
      <w:r>
        <w:rPr>
          <w:rFonts w:ascii="仿宋_GB2312" w:hAnsi="仿宋_GB2312" w:eastAsia="仿宋_GB2312" w:cs="仿宋_GB2312"/>
        </w:rPr>
        <w:t>★注：供应商响应产品应当明确品牌和规格型号并指向唯一产品，不能指向唯一产品的，应通过报价表唯一产品说明栏补充说明。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  <w:b/>
        </w:rPr>
        <w:t>本项目涉及核心产品：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92"/>
        <w:gridCol w:w="2492"/>
        <w:gridCol w:w="24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采购品目名称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产品名称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49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A02021103 LED 显示屏</w:t>
            </w:r>
          </w:p>
        </w:tc>
        <w:tc>
          <w:tcPr>
            <w:tcW w:w="249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室内LED大屏</w:t>
            </w:r>
          </w:p>
        </w:tc>
        <w:tc>
          <w:tcPr>
            <w:tcW w:w="249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室内LED大屏</w:t>
            </w:r>
          </w:p>
        </w:tc>
      </w:tr>
    </w:tbl>
    <w:p>
      <w:pPr>
        <w:pStyle w:val="4"/>
        <w:ind w:firstLine="480"/>
        <w:jc w:val="left"/>
      </w:pPr>
      <w:r>
        <w:rPr>
          <w:rFonts w:ascii="仿宋_GB2312" w:hAnsi="仿宋_GB2312" w:eastAsia="仿宋_GB2312" w:cs="仿宋_GB2312"/>
        </w:rPr>
        <w:t>注：涉及核心产品的，具体评审规定见第五章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  <w:b/>
        </w:rPr>
        <w:t>本项目涉及采购进口产品：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92"/>
        <w:gridCol w:w="2492"/>
        <w:gridCol w:w="24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采购品目名称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产品名称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07" w:type="dxa"/>
            <w:gridSpan w:val="4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不涉及</w:t>
            </w:r>
          </w:p>
        </w:tc>
      </w:tr>
    </w:tbl>
    <w:p>
      <w:pPr>
        <w:pStyle w:val="4"/>
        <w:ind w:firstLine="480"/>
        <w:jc w:val="left"/>
      </w:pPr>
      <w:r>
        <w:rPr>
          <w:rFonts w:ascii="仿宋_GB2312" w:hAnsi="仿宋_GB2312" w:eastAsia="仿宋_GB2312" w:cs="仿宋_GB2312"/>
        </w:rPr>
        <w:t>★注：不涉及采购进口产品时，供应商不得提供进口产品进行响应；涉及采购进口产品时，如国产产品满足采购需求，也可提供国产产品进行响应。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  <w:b/>
        </w:rPr>
        <w:t>本项目涉及强制采购节能产品：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92"/>
        <w:gridCol w:w="2492"/>
        <w:gridCol w:w="24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采购品目名称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产品名称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49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A02021103 LED 显示屏</w:t>
            </w:r>
          </w:p>
        </w:tc>
        <w:tc>
          <w:tcPr>
            <w:tcW w:w="249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室内LED大屏</w:t>
            </w:r>
          </w:p>
        </w:tc>
        <w:tc>
          <w:tcPr>
            <w:tcW w:w="249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控制终端（注. 所属品目：台式计算机）</w:t>
            </w:r>
          </w:p>
        </w:tc>
      </w:tr>
    </w:tbl>
    <w:p>
      <w:pPr>
        <w:pStyle w:val="4"/>
        <w:ind w:firstLine="480"/>
        <w:jc w:val="left"/>
      </w:pPr>
      <w:r>
        <w:rPr>
          <w:rFonts w:ascii="仿宋_GB2312" w:hAnsi="仿宋_GB2312" w:eastAsia="仿宋_GB2312" w:cs="仿宋_GB2312"/>
        </w:rPr>
        <w:t>★注：响应产品属于《节能产品政府采购品目清单》中政府强制采购的产品，供应商应当提供由国家确定的认证机构出具的、处于有效期之内的节能产品认证证书的原件扫描件或“全国认证认可信息公共服务平台”（http://cx.cnca.cn）的认证信息截图，否则作无效响应处理。具体要求详见第五章符合性审查表。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  <w:b/>
        </w:rPr>
        <w:t>本项目涉及优先采购节能产品：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92"/>
        <w:gridCol w:w="2492"/>
        <w:gridCol w:w="24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采购品目名称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产品名称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7" w:type="dxa"/>
            <w:gridSpan w:val="4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不涉及</w:t>
            </w:r>
          </w:p>
        </w:tc>
      </w:tr>
    </w:tbl>
    <w:p>
      <w:pPr>
        <w:pStyle w:val="4"/>
        <w:ind w:firstLine="480"/>
        <w:jc w:val="left"/>
      </w:pPr>
      <w:r>
        <w:rPr>
          <w:rFonts w:ascii="仿宋_GB2312" w:hAnsi="仿宋_GB2312" w:eastAsia="仿宋_GB2312" w:cs="仿宋_GB2312"/>
        </w:rPr>
        <w:t>注：响应产品属于《节能产品政府采购品目清单》中优先采购的产品，供应商提供由国家确定的认证机构出具的、处于有效期之内的节能产品认证证书的原件扫描件或“全国认证认可信息公共服务平台”（http://cx.cnca.cn）的认证信息截图，可以享受优先采购政策。具体要求详见第五章规定。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  <w:b/>
        </w:rPr>
        <w:t>本项目涉及优先采购环境标志产品：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92"/>
        <w:gridCol w:w="2492"/>
        <w:gridCol w:w="24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采购品目名称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产品名称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07" w:type="dxa"/>
            <w:gridSpan w:val="4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不涉及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注：响应产品属于《环境标志产品政府采购品目清单》中的产品，供应商提供由国家确定的认证机构出具的、处于有效期之内的环境标志产品认证证书的原件扫描件或“全国认证认可信息公共服务平台”（http://cx.cnca.cn）的认证信息截图，可以享受优先采购政策。具体要求详见第五章规定。</w:t>
      </w:r>
    </w:p>
    <w:p>
      <w:pPr>
        <w:pStyle w:val="4"/>
        <w:jc w:val="left"/>
        <w:outlineLvl w:val="2"/>
      </w:pPr>
      <w:r>
        <w:rPr>
          <w:rFonts w:ascii="仿宋_GB2312" w:hAnsi="仿宋_GB2312" w:eastAsia="仿宋_GB2312" w:cs="仿宋_GB2312"/>
          <w:b/>
          <w:sz w:val="28"/>
        </w:rPr>
        <w:t>3.2.技术要求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标的名称：室内LED大屏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81"/>
        <w:gridCol w:w="1495"/>
        <w:gridCol w:w="581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58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符号标识</w:t>
            </w:r>
          </w:p>
        </w:tc>
        <w:tc>
          <w:tcPr>
            <w:tcW w:w="149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技术要求名称</w:t>
            </w:r>
          </w:p>
        </w:tc>
        <w:tc>
          <w:tcPr>
            <w:tcW w:w="5814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58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1495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室内LED大屏技术要求</w:t>
            </w:r>
          </w:p>
        </w:tc>
        <w:tc>
          <w:tcPr>
            <w:tcW w:w="5814" w:type="dxa"/>
          </w:tcPr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1.LED 封装方式SMD表贴三合一纯金线(含金量大于等于99.99%)共阴封装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2.点间距:≤1.25mm像素密度：≥640000点/㎡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3.整屏分辨率：≥3840点×2160点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4.箱体尺寸：600mm×337.5mm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5.屏幕尺寸：4800mm(宽）×2700mm （高）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6.可视角度（水平/垂直）:≥170°/170°，800K-18000K 连续可调,调节步长100K,可自定义色温,色温为 6500K 时，100%，75%，50%，25%四档电平白场调节色温误差≤100K；在合同签订前需提供此项功能带CMA标识的第三方检测报告（提供承诺函）。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7.换帧频率：50Hz&amp;60Hz，支持 120Hz等 3D 显示技术，刷新频率：≥7680Hz，支持通过配套控制软件调节刷新率设置选项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8.最高对比度：10000：1，灰度等级：≥14bit；色域≥120%NTSC；屏幕表面无塑胶类结构件，无面罩设计，采用电喷及绝缘导热面膜技术，屏体正面亚黑处理，显示屏对比度高可有效防止反光、眩光和静电，反光率≤1.2%；在合同签订前需提供此项功能带CMA标识的第三方检测报告（提供承诺函）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9.箱体结构：压铸铝合金材质，全封闭铝底壳，一体成型（框架、背板、后盖）整体压铸成型，抗压抗拉，全金属自然散热结构，无风扇、无孔、防尘、静音设计，箱体平整且密封防尘；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10.单箱断电功能：箱体支持伸缩式硬连接接口，可实现对单箱进行断电/通电控制；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11.模块微调功能：支持以模组为单位进行三维(X,Y,Z 六向)调节，模块间精密微调，从屏体前面可以对任何一个模块进行亚亳米级的精细微调；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12.峰值功耗≤400W/㎡；平整度：≤0.1mm；亮度均匀性：≥97%；水平/垂直相对偏差：≤1%；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13.维护方式：支持模块、电源、接收卡完全前拆前维护，模块、控制板、电源、系统卡等所有组件均能快速从前面进行维护，无需预留维修通道，散热均匀，箱体内外环境温度均衡，支持热插拔 ，终端同时进行操控设备；          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14.移动终端控制功能：支持Windows、Android、I0S移动终端同时进行操控设备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15.窗口叠加功能：应能通过通信端口和控制软件，手动操作将多个不同的窗口开到一个屏幕，实现窗口的重叠功能；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16.回放功能：可以在客户端上回放显示终端上的图像画面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17.窗口漫游功能：应能通过通信端口和控制软件，手动操作将任意一个窗口拖动到显示终端的任意位置；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18.图像切换：切换图像显示重建时间应不大于1s；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19.管理功能：多个用户可以使用客户端或IE同时登陆管理设备；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20.跨屏显示功能：应能通过通信端口和控制软件，手动操作将任意一个窗口拖动到多个显示终端的拼接显示；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21.绝缘电阻检测：电源(a.c.)引入端子与外壳裸露金属部件之间的绝缘电阻在正常大气条件下应&amp;100MQ,湿热条件下应≥10MQ；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22.窗口缩放功能和切割功能：应能通过通信端口和控制软件，手动操作将窗口进行任意的放大和缩小的功能，并可以对窗口显示图像进行局部截取功能；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23.边缘屏蔽功能：在进行画面拼接时，能将相邻2个画面之间的边缘像素进行屏蔽，使画面不变形。屏蔽的像素可手动设置；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24.像素裁剪功能：可根据像素位置裁剪显示输入信号的部分内容，实现图像局部放大；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25.网格、坐标定位：支持窗口网络、坐标定位功能；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26.开窗口功能：应能通过通信端口和控制软件，手动操作在任意输出终端显示多个任意大小的窗口；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27.软件自检测功能检查：客户端软件可以自动检测样品设备上的输入端口、输出端口、接入的输入信号和接入的显示终端，并通过列表的方式展现。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28.扩展显示标识数据管理功能：支持扩展显示标识数据的读取、修改功能，可修改监视器的分辨率、色彩、频率等参数；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29.场景功能：支持≥128个场景的预设和读取调用，所有场景均可自动定时轮巡以及分组轮巡切换显示；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30.预览分割功能：支持16/12/9/8/4/1等多种预览分割模式；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31.分组功能：支持解码输出分组设置，扩展控制多个显示终端，支持最多8个分组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32.名称自定义功能：可自定义信号源、窗口名称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33.预览功能：可以在客户端上实时预览输入信号源的图像画面；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34.配有智能配电柜: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a）配电柜功率≥20KW；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b）功能：支持手动、自动一体模式控制，一键启、停。分步上、断电；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c）配备启动开关冲击保护，保护余量≥10倍的额定电流；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d）配备电流指针表监控、开关电压指针表监控，数字显示仪表监控，实时各相电流，各相电压；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e）按照一次回路，二次回路，器件分开布局；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f）具有漏电、防雷、过流、短路等多种保护功能，以及温度、湿度、烟雾状态、零线温度、负载过载、过压、欠压、缺项等自动检测功能；、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35.多功能显示器：</w:t>
            </w:r>
          </w:p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a）屏幕对角线尺寸≥21.5"英寸, LED背光源，工业级A级面板，无任何亮暗点。屏幕亮度≥250cd/㎡，对比度≥1500:1，物理分辨率1920*1080；屏幕比例为16∶9，整屏色彩和亮度均匀性≥90%。产品支持壁挂式及移动推车式安装（支架\推车含在报价内）。</w:t>
            </w:r>
          </w:p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b）输入接口：DP≥1、HDMI≥2、DVI≥1、VGA≥1、AV≥1、RJ45 ≥1、USB ≥1、IR≥1；输出接口：AV≥1,RJ45≥2。可单独外接控制电脑信号源，也可外接外部摄像头等多路高清或4K信号输入设备，可通过遥控器切换各输入信号端口输入，达到迅速查找输入信号源故障原因。投标产品需提供输入输出接口板卡实物照片或整机接口照片。</w:t>
            </w:r>
          </w:p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c）可通过USB接口进行固件程序升级及产品开机画面更换，也可以通过控制软件直接读取logo文件进行开机画面更换。可通过USB接口播放U盘、移动硬盘中主流音视频文件(如avi、mp4、ts、trp、mkv、rm、rmvb等为后缀名的文件)，也可以播放音频（如mp3、wma、ogg等为后缀名的文件）和图片（如jpeg、bmp、gif、bmp为后缀名的文件）</w:t>
            </w:r>
          </w:p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d）具备LED跑马灯功能，在不接入任何信号源状况下，可以在屏幕上、下两部分自定义显示文字（文字大小、颜色、滚动速度可调），模拟LED屏会标文字显示。需提供功能相关截图。</w:t>
            </w:r>
          </w:p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e）支持定时开关机设置，同时支持硬件加解密操作，加密后的显示器只有通过管理软件导入解密注册码才能正常使用，提供管理软件定时开关机设置软件截图与加解密设置软件截图，在合同签订前需提供此项功能带CMA标识的第三方检测报告（提供承诺函）。</w:t>
            </w:r>
          </w:p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f）应具备防静电干扰、防辐射、防雷击浪涌、防火、防腐蚀、防震功能，在合同签订前需提供带CMA标识的第三方检测报告（提供承诺函）。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g）支持从外部拍摄LED大屏照片，并通过管理软件调取拍摄的LED照片进行AI智能调色，使显示器与LED大屏色彩一致性，在合同签订前需提供该功能带CMA标识的第三方检测报告（提供承诺函）。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36.控制终端：整机原装，CPU核心数≥6，内存≥16G，独立显卡显存≥2G，硬盘≥固态 1TSSD，内置无线网卡，RJ45接口数量≥1个，显示器≥23.8寸，接口：USB接口≥6，VGA≥1，HDMI≥1；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37.音响参数：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a）外壳采用铝质材料，网罩采用不锈钢钢网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b）输入电压≥100V。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c）额定功率≥60W。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d）频率响应：130Hz-18KHz (±10%）。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e）灵敏度：89dB ±3 dB。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f）最大声压级：107dB±1dB。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g）喇叭单元：LF尺寸≥5"，LF数量≥4；HF尺寸≥1"，HF数量≥1。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38.功放参数：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a）支持D类数字功率放大器。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b）MP3解码模块支持USB/Bluetooth播放功能。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c）话筒（TRS6.35）输入≥3路、3路线路输入≥3路，1组录音输出≥1组，支持话筒、线路独立音量调节，支持话筒高、低音独立调节功能，Mic1-3具有+48V幻像供电选择开关，Mic1具有默音可调功能。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d）支持总音量调节。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e）支持RS485远程监控。可监控功放的工作模式、工作温度、输出电平、保护状态、工作电流等工作状态。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f）输出功率：≥150W（100V定压输出）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g）输入灵敏度：线路（L+R）：150mV±30mV，话筒：（17mv±5mv）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h）音调调节 (低频:100Hz ±10dB（±2dB）, 高频:10KHz ±8dB（±2dB））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i）频率响应： 80Hz-16KHz ±2dB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j）总谐波失真：80Hz-16KHz≤1%；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k）信噪比：话筒≥55 dB （A计权），线路≥76 dB（A计权）；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39.需钢结构:基层为镀锌方管，厚度≥1.5mm，边框为铝合金，包边为不锈钢包边。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40.本次报价包含且不限于安装调试费用及线材费用（包括但不限于强弱电：弱电线路单根预估20m（以实际使用数量为准），强电线路预估60m（以实际使用数量为准），供电≥10平米）等。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标的名称：室外LED大屏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81"/>
        <w:gridCol w:w="1495"/>
        <w:gridCol w:w="581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41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58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符号标识</w:t>
            </w:r>
          </w:p>
        </w:tc>
        <w:tc>
          <w:tcPr>
            <w:tcW w:w="149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技术要求名称</w:t>
            </w:r>
          </w:p>
        </w:tc>
        <w:tc>
          <w:tcPr>
            <w:tcW w:w="5814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41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58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1495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室外LED大屏技术要求</w:t>
            </w:r>
          </w:p>
        </w:tc>
        <w:tc>
          <w:tcPr>
            <w:tcW w:w="581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1.LED 封装方式SMD表贴三合一封装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2.点间距:≤2.5mm像素密度：≥160000点/㎡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3.整屏分辨率：≥1152点×768点                          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4.屏幕尺寸：2880mm(宽）×1920mm（高）屏幕白平衡亮度≥7500nit，对比度≥6000：1；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5.色温：800K-10000K（可调）；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6.发光像素点中心差距：≤2%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7.刷新频率≥7680Hz，换帧频率：50Hz&amp;60Hz，亮度均匀度：≥99%，色度均匀度：校正后+0.002Cx，Cy之内；在合同签订前需提供此项功能带CMA标识的第三方检测报告（提供承诺函）。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7.可视角度：水平视角≥140度；垂直视角≥140度；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8.投标产品需要达到≥IP65防护等级;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9.亮度均匀性：整屏亮度均匀性≥98%，具有单点校正功能;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10.最大功率≤900W/m² ，平均功率≤300W/m²；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11.具备节能功能，可智能调节正常工作与睡眠状态下的节能效果(动态节能，智能息屏),开启智能节电功能比没有开启节能60%以上；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12.投标产品正面采用黑色面罩保护，大大提高视角及对比度，具备防眩光效果；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13.PCB阻燃等级达到V-0级别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14.产品支持前维护功能，采用螺丝固定前维维护方式，不允许采用磁吸前维护方案；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15.移动终端控制功能：支持Windows、Android、I0S移动终端同时进行操控设备；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16.窗口叠加功能：应能通过通信端口和控制软件，手动操作将多个不同的窗口开到一个屏幕，实现窗口的重叠功能；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17.回放功能：可以在客户端上回放显示终端上的图像画面；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18.窗口漫游功能：应能通过通信端口和控制软件，手动操作将任意一个窗口拖动到显示终端的任意位置；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19.图像切换：切换图像显示重建时间应不大于1s；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20.管理功能：多个用户可以使用客户端或IE同时登陆管理设备；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21.跨屏显示功能：应能通过通信端口和控制软件，手动操作将任意一个窗口拖动到多个显示终端的拼接显示；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22.绝缘电阻检测：电源(a.c.)引入端子与外壳裸露金属部件之间的绝缘电阻在正常大气条件下应&amp;100MQ,湿热条件下应≥10MQ；在合同签订前需提供此项功能带CMA标识的第三方检测报告（提供承诺函）。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23.窗口缩放功能和切割功能：应能通过通信端口和控制软件，手动操作将窗口进行任意的放大和缩小的功能，并可以对窗口显示图像进行局部截取功能；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24.边缘屏蔽功能：在进行画面拼接时，能将相邻2个画面之间的边缘像素进行屏蔽，使画面不变形。屏蔽的像素可手动设置；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25.像素裁剪功能：可根据像素位置裁剪显示输入信号的部分内容，实现图像局部放大；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26.网格、坐标定位：支持窗口网络、坐标定位功能；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27.开窗口功能：应能通过通信端口和控制软件，手动操作在任意输出终端显示多个任意大小的窗口；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28.软件自检测功能检查：客户端软件可以自动检测样品设备上的输入端口、输出端口、接入的输入信号和接入的显示终端，并通过列表的方式展现。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29.扩展显示标识数据管理功能：支持扩展显示标识数据的读取、修改功能，可修改监视器的分辨率、色彩、频率等参数；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30.场景功能：支持≥128个场景的预设和读取调用，所有场景均可自动定时轮巡以及分组轮巡切换显示；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31.预览分割功能：支持16/12/9/8/4/1等多种预览分割模式；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32.分组功能：支持解码输出分组设置，扩展控制多个显示终端，支持最多8个分组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33.名称自定义功能：可自定义信号源、窗口名称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34.预览功能：可以在客户端上实时预览输入信号源的图像画面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35.配有配电柜: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a）配电柜功率≥10KW；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b）功能：支持手动、自动一体模式控制，一键启、停。分步上、断电；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c）配备启动开关冲击保护，保护余量≥10倍的额定电流；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d）配备电流指针表监控、开关电压指针表监控，数字显示仪表监控，实时各相电流，各相电压；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e）按照一次回路，二次回路，器件分开布局；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f）具有漏电、防雷、过流、短路等多种保护功能，以及温度、湿度、烟雾状态、零线温度、负载过载、过压、欠压、缺项等自动检测功能；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36.控制终端：控制终端：整机原装，CPU核心数≥6，内存≥16G，独立显卡显存≥2G，硬盘≥固态 1TSSD，内置无线网卡，RJ45接口数量≥1个，显示器≥23.8寸，接口：USB接口≥6，VGA≥1，HDMI≥1；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37.音响参数：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a）外壳采用铝质材料，网罩采用不锈钢钢网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b）输入电压≥100V。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c）额定功率≥60W。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d）频率响应：130Hz-18KHz (±10%）。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e）灵敏度：89dB ±3 dB。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f）最大声压级：107dB±1dB。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g）喇叭单元：LF尺寸≥5"，LF数量≥4；HF尺寸≥1"，HF数量≥1。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38.功放参数：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a）支持D类数字功率放大器。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b）MP3解码模块支持USB/Bluetooth播放功能。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c）话筒（TRS6.35）输入≥3路、3路线路输入≥3路，1组录音输出≥1组，支持话筒、线路独立音量调节，支持话筒高、低音独立调节功能，Mic1-3具有+48V幻像供电选择开关，Mic1具有默音可调功能。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d）支持总音量调节。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e）支持RS485远程监控。可监控功放的工作模式、工作温度、输出电平、保护状态、工作电流等工作状态。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f）输出功率：≥150W（100V定压输出）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g）输入灵敏度：线路（L+R）：150mV±30mV，话筒：（17mv±5mv）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h）音调调节 (低频:100Hz ±10dB（±2dB）, 高频:10KHz ±8dB（±2dB））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i）频率响应： 80Hz-16KHz ±2dB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j）总谐波失真：80Hz-16KHz≤1%；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k）信噪比：话筒≥55 dB （A计权），线路≥76 dB（A计权）。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39.图文视频检测过滤设备：</w:t>
            </w:r>
          </w:p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a）接口配置：HDMI IN接口数量≥1，HDMI OUT接口数量≥1，DP OUT数量≥1,USB2.0接口数量≥2，USB3.0接口数量≥1，OTG接口数量≥1，LAN接口数量≥2，Audio接口数量≥1，具有系统状态信号灯，包含电源、系统、网络、告警；</w:t>
            </w:r>
          </w:p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b）该设备的文字检测敏感词库应支持10000条以上每个敏感词字数最高可支持16字；该设备满足24小时不间断连续检测的需求.</w:t>
            </w:r>
          </w:p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c）可识别视频/图像中的敏感词；可识别涉黄、涉政、涉暴、涉赌等敏感信息；可识别色情视频或图像，包括不同肤色人种、不同风格卡通动画视频或图像中出现色情场景。不良图片的检出率应&gt;99.8%，正常图像的判断准确率应&gt;99.9%(即误判率＜0.1%)，测试要求分别使用10000（一万）幅以上色情图像&amp;正常图片进行试验；</w:t>
            </w:r>
            <w:r>
              <w:rPr>
                <w:rFonts w:ascii="仿宋_GB2312" w:hAnsi="仿宋_GB2312" w:eastAsia="仿宋_GB2312" w:cs="仿宋_GB2312"/>
                <w:color w:val="FF0000"/>
                <w:sz w:val="24"/>
              </w:rPr>
              <w:t>需提供承诺函。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40.恒温控制系统，屏体温度需控制在20°C至30°C之间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.LED立柱采用柱框架结构，结构需满足：工程结构通用规范《GB55001-2021》，建筑与市政工程抗震通用规范《GB55002-2021》，建筑与市政地基基础通用规范《GB55003-2021》，组合结构通用规范《GB55004-2021》等相关国家现行规范相关要求。单柱结构，高度2.4-3米区间，具体以现场勘探需求定。边框为铝合金，包边为不锈钢包边。</w:t>
            </w:r>
          </w:p>
          <w:p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42.本次报价包含且不限于安装调试费用及线材费用（包括但不限于强弱电线材：弱电线路单根预估20m（以实际使用数量为准），强电线路预估20m（以实际使用数量为准），供电≥10平米）等</w:t>
            </w:r>
          </w:p>
        </w:tc>
      </w:tr>
    </w:tbl>
    <w:p>
      <w:pPr>
        <w:pStyle w:val="4"/>
        <w:jc w:val="left"/>
        <w:outlineLvl w:val="2"/>
      </w:pPr>
      <w:r>
        <w:rPr>
          <w:rFonts w:ascii="仿宋_GB2312" w:hAnsi="仿宋_GB2312" w:eastAsia="仿宋_GB2312" w:cs="仿宋_GB2312"/>
          <w:b/>
          <w:sz w:val="28"/>
        </w:rPr>
        <w:t>3.3.服务要求</w:t>
      </w:r>
    </w:p>
    <w:p>
      <w:pPr>
        <w:pStyle w:val="4"/>
        <w:jc w:val="left"/>
        <w:outlineLvl w:val="3"/>
      </w:pPr>
      <w:r>
        <w:rPr>
          <w:rFonts w:ascii="仿宋_GB2312" w:hAnsi="仿宋_GB2312" w:eastAsia="仿宋_GB2312" w:cs="仿宋_GB2312"/>
          <w:b/>
          <w:sz w:val="24"/>
        </w:rPr>
        <w:t>3.3.1.服务内容要求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81"/>
        <w:gridCol w:w="1495"/>
        <w:gridCol w:w="581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58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符号标识</w:t>
            </w:r>
          </w:p>
        </w:tc>
        <w:tc>
          <w:tcPr>
            <w:tcW w:w="149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服务要求名称</w:t>
            </w:r>
          </w:p>
        </w:tc>
        <w:tc>
          <w:tcPr>
            <w:tcW w:w="5814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服务要求内容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5" w:type="dxa"/>
            <w:gridSpan w:val="4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无</w:t>
            </w:r>
          </w:p>
        </w:tc>
      </w:tr>
    </w:tbl>
    <w:p>
      <w:pPr>
        <w:pStyle w:val="4"/>
        <w:jc w:val="left"/>
        <w:outlineLvl w:val="3"/>
      </w:pPr>
      <w:r>
        <w:rPr>
          <w:rFonts w:ascii="仿宋_GB2312" w:hAnsi="仿宋_GB2312" w:eastAsia="仿宋_GB2312" w:cs="仿宋_GB2312"/>
          <w:b/>
          <w:sz w:val="24"/>
        </w:rPr>
        <w:t>3.3.2.商务要求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81"/>
        <w:gridCol w:w="1495"/>
        <w:gridCol w:w="581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58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符号标识</w:t>
            </w:r>
          </w:p>
        </w:tc>
        <w:tc>
          <w:tcPr>
            <w:tcW w:w="149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商务要求名称</w:t>
            </w:r>
          </w:p>
        </w:tc>
        <w:tc>
          <w:tcPr>
            <w:tcW w:w="5814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商务要求内容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581" w:type="dxa"/>
          </w:tcPr>
          <w:p/>
        </w:tc>
        <w:tc>
          <w:tcPr>
            <w:tcW w:w="1495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交货时间</w:t>
            </w:r>
          </w:p>
        </w:tc>
        <w:tc>
          <w:tcPr>
            <w:tcW w:w="581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自合同签订之日起40日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581" w:type="dxa"/>
          </w:tcPr>
          <w:p/>
        </w:tc>
        <w:tc>
          <w:tcPr>
            <w:tcW w:w="1495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交货地点</w:t>
            </w:r>
          </w:p>
        </w:tc>
        <w:tc>
          <w:tcPr>
            <w:tcW w:w="581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采购人指定的地点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41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581" w:type="dxa"/>
          </w:tcPr>
          <w:p/>
        </w:tc>
        <w:tc>
          <w:tcPr>
            <w:tcW w:w="1495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支付方式</w:t>
            </w:r>
          </w:p>
        </w:tc>
        <w:tc>
          <w:tcPr>
            <w:tcW w:w="581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分期付款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581" w:type="dxa"/>
          </w:tcPr>
          <w:p/>
        </w:tc>
        <w:tc>
          <w:tcPr>
            <w:tcW w:w="1495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付款进度安排</w:t>
            </w:r>
          </w:p>
        </w:tc>
        <w:tc>
          <w:tcPr>
            <w:tcW w:w="581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1、预付款，合同签订生效后，支付预付款，达到付款条件起10日内，支付合同总金额的60.00%</w:t>
            </w:r>
          </w:p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2、尾款，硬件安装调试完成后，同时园所方在收到成交供应商开具符合要求的全额发票，达到付款条件起10日内，支付合同总金额的40.00%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581" w:type="dxa"/>
          </w:tcPr>
          <w:p/>
        </w:tc>
        <w:tc>
          <w:tcPr>
            <w:tcW w:w="1495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验收、交付标准和方法</w:t>
            </w:r>
          </w:p>
        </w:tc>
        <w:tc>
          <w:tcPr>
            <w:tcW w:w="581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1、验收时必须有采购人需求科室代表、园所信息管理部代表和成交供应商代表在场，按合同约定的标准进行确认。 2、成交供应商负责项目设备的安装调试，正常运行后并负责按照标准模板出具安装报告，报告应有采购人使用科室及成交供应商代表签字。 3、成交供应商负责对采购人技术人员进行技术培训（费用包含在报价中），并按照标准模板出具培训报告，报告应有采购人使用科室、采购人被培训人员签字及成交供应商代表签字。 4、成交供应商按照标准模板填写验收评估表，评估表应有采购人使用科室验收意见及签字。 5、成交供应商将采购人签字确认后的安装验收报告、培训报告、验收评估表或合格证（若有）交采购人信息管理部代表签收，并陪同信息管理部验收代表进行现场三方确认后，方视为验收合格。 6、若成交供应商未按照合同约定时间及时完成产品交货及安装，给园所运营造成损失的，每延迟一天，成交供应商应向园所方支付本合同货款总价0.5‰的违约金。 7、未尽事项以园所信息管理部解释为准。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581" w:type="dxa"/>
          </w:tcPr>
          <w:p/>
        </w:tc>
        <w:tc>
          <w:tcPr>
            <w:tcW w:w="1495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质量保修范围和保修期</w:t>
            </w:r>
          </w:p>
        </w:tc>
        <w:tc>
          <w:tcPr>
            <w:tcW w:w="581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1、成交供应商负责硬件的安装调试，确保硬件可正常使用后出具安装报告。 2、成交供应商对园所方技术人员进行技术培训（可多次培训），培训合格后出具培训报告（费用含在报价内）。 3、质保期2年，在保修期内，成交供应商需保证采购人可以随时找到相应的技术人员，成交供应商接到园所方维保、抢修通知后30分钟内响应，一般问题一天内解决，重大问题三天内解决。特殊情况无法修复的，成交供应商需及时反馈采购人并提供有效解决方案，若无法解决或造成园所损失，成交供应商需按照合同支付园所方违约金。 4、质保中标后需提供原厂质保。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41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581" w:type="dxa"/>
          </w:tcPr>
          <w:p/>
        </w:tc>
        <w:tc>
          <w:tcPr>
            <w:tcW w:w="1495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违约责任与解决争议的方法</w:t>
            </w:r>
          </w:p>
        </w:tc>
        <w:tc>
          <w:tcPr>
            <w:tcW w:w="581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按照园所方合同签订时间要求，未按照合同约定时间及时完成产品交货及安装的，每延迟一天，成交供应商应向园所方支付本项目合同货款总价的0.5‰的违约金，延期30日，园所方有权单方面解除合同，并要求成交供应商赔偿全部经济损失 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581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1495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包装方式及运输</w:t>
            </w:r>
          </w:p>
        </w:tc>
        <w:tc>
          <w:tcPr>
            <w:tcW w:w="581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</w:t>
            </w:r>
          </w:p>
        </w:tc>
      </w:tr>
    </w:tbl>
    <w:p>
      <w:pPr>
        <w:pStyle w:val="4"/>
        <w:jc w:val="left"/>
        <w:outlineLvl w:val="2"/>
      </w:pPr>
      <w:r>
        <w:rPr>
          <w:rFonts w:ascii="仿宋_GB2312" w:hAnsi="仿宋_GB2312" w:eastAsia="仿宋_GB2312" w:cs="仿宋_GB2312"/>
          <w:b/>
          <w:sz w:val="28"/>
        </w:rPr>
        <w:t>3.4.其他要求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1、包装方式及运输：涉及的商品包装和快递包装，均应符合《商品包 装政府采购需求标准（试行）》《快递包装政府采购需求标准（试行）》的要求，包装应适应于远 距离运输、防潮、防震、防锈和防野蛮装卸，以确保货物安全无损运抵指定地点。 2、针对LED 封 装方式SMD表贴三合一纯金线(含金量大于等于99.99%)共阴封装，成交供应商需在验收时提供同型号 产品的第三方抽样检查的合格检测报告，同时采购人可通过设备序列号向屏幕制造商核实。必要时 采购人可对产品进行检测，费用（包含但不限于检测费用、邮寄费用）由成交供应商承担，若检测 不合格，则采购人有权无偿单方解除合同，相关损失由成交供应商承担。 3、保密服务承诺。成交 供应商在提供服务过程中，获悉的一切资讯均需严格保密，不得自行使用或提供给他人使用，如有 泄漏、擅自使用或允许他人使用造成损失的，须承担相应的责任。 4、成交供应商必须保证提供的 货物(包括零部件)是全新的、未使用过的，具有稳定性、可靠性、安全性，并完全符合国家、行业 规定的质量、规格和性能要求等技术标准。凡采购文件中未提及的设备配件、附件、安装材料、调 试验收所需的附属配件及卖方应向采购人提供设备安装、维修所需的专用工具和仪器，并列出清单 与价格，该价格包括在投标总价格中。 5、在项目实施过程中的安全责任由成交供应商负全责，采 购人不承担任何安全责任，也不承担如发生安全事故产生的任何责任。 6、采购人有权要求成交供 应商提供投标文件中所涉及的相关证明材料原件进行核实，如成交供应商无正当理由不予配合，可 视为提供虚假材料响应，采购人有权单方面无偿解除合同并追究责任。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6ABA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故友</cp:lastModifiedBy>
  <dcterms:modified xsi:type="dcterms:W3CDTF">2025-04-16T10:00:12Z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