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E3B1D1">
      <w:pPr>
        <w:ind w:left="0" w:leftChars="0" w:firstLine="0" w:firstLineChars="0"/>
        <w:jc w:val="center"/>
        <w:rPr>
          <w:rFonts w:hint="eastAsia"/>
          <w:b/>
          <w:bCs/>
          <w:color w:val="auto"/>
          <w:sz w:val="60"/>
          <w:szCs w:val="72"/>
          <w:highlight w:val="none"/>
        </w:rPr>
      </w:pPr>
    </w:p>
    <w:p w14:paraId="0EB23B51">
      <w:pPr>
        <w:ind w:left="0" w:leftChars="0" w:firstLine="0" w:firstLineChars="0"/>
        <w:jc w:val="center"/>
        <w:rPr>
          <w:rFonts w:hint="default" w:eastAsia="宋体"/>
          <w:b/>
          <w:bCs/>
          <w:color w:val="auto"/>
          <w:sz w:val="60"/>
          <w:szCs w:val="72"/>
          <w:highlight w:val="none"/>
          <w:lang w:val="en-US" w:eastAsia="zh-CN"/>
        </w:rPr>
      </w:pPr>
      <w:r>
        <w:rPr>
          <w:rFonts w:hint="eastAsia"/>
          <w:b/>
          <w:bCs/>
          <w:color w:val="auto"/>
          <w:sz w:val="60"/>
          <w:szCs w:val="72"/>
          <w:highlight w:val="none"/>
        </w:rPr>
        <w:t>2026年冬季扶余市乡镇卫生院取暖燃料生物质颗粒</w:t>
      </w:r>
      <w:r>
        <w:rPr>
          <w:rFonts w:hint="eastAsia"/>
          <w:b/>
          <w:bCs/>
          <w:color w:val="auto"/>
          <w:sz w:val="60"/>
          <w:szCs w:val="72"/>
          <w:highlight w:val="none"/>
          <w:lang w:val="en-US" w:eastAsia="zh-CN"/>
        </w:rPr>
        <w:t>采购项目</w:t>
      </w:r>
    </w:p>
    <w:p w14:paraId="68E5B8CD">
      <w:pPr>
        <w:wordWrap/>
        <w:topLinePunct w:val="0"/>
        <w:adjustRightInd w:val="0"/>
        <w:snapToGrid w:val="0"/>
        <w:ind w:firstLine="0" w:firstLineChars="0"/>
        <w:jc w:val="both"/>
        <w:rPr>
          <w:rFonts w:hint="eastAsia" w:hAnsi="宋体" w:cs="宋体"/>
          <w:b/>
          <w:bCs/>
          <w:color w:val="auto"/>
          <w:sz w:val="84"/>
          <w:szCs w:val="84"/>
          <w:highlight w:val="none"/>
        </w:rPr>
      </w:pPr>
    </w:p>
    <w:p w14:paraId="0140CB1A">
      <w:pPr>
        <w:wordWrap/>
        <w:topLinePunct w:val="0"/>
        <w:adjustRightInd w:val="0"/>
        <w:snapToGrid w:val="0"/>
        <w:ind w:firstLine="0" w:firstLineChars="0"/>
        <w:jc w:val="center"/>
        <w:rPr>
          <w:rFonts w:hint="eastAsia"/>
          <w:color w:val="auto"/>
          <w:highlight w:val="none"/>
        </w:rPr>
      </w:pPr>
      <w:r>
        <w:rPr>
          <w:rFonts w:hint="eastAsia" w:hAnsi="宋体" w:cs="宋体"/>
          <w:b/>
          <w:bCs/>
          <w:color w:val="auto"/>
          <w:sz w:val="84"/>
          <w:szCs w:val="84"/>
          <w:highlight w:val="none"/>
        </w:rPr>
        <w:t>招 标 文 件</w:t>
      </w:r>
    </w:p>
    <w:p w14:paraId="71257754">
      <w:pPr>
        <w:wordWrap/>
        <w:topLinePunct w:val="0"/>
        <w:ind w:firstLine="0" w:firstLineChars="0"/>
        <w:jc w:val="center"/>
        <w:rPr>
          <w:rFonts w:hint="default" w:hAnsi="宋体" w:eastAsia="宋体" w:cs="宋体"/>
          <w:b/>
          <w:bCs/>
          <w:color w:val="auto"/>
          <w:sz w:val="32"/>
          <w:szCs w:val="32"/>
          <w:highlight w:val="none"/>
          <w:lang w:val="en-US" w:eastAsia="zh-CN"/>
        </w:rPr>
      </w:pPr>
      <w:r>
        <w:rPr>
          <w:rFonts w:hint="eastAsia" w:hAnsi="宋体" w:cs="宋体"/>
          <w:b/>
          <w:bCs/>
          <w:color w:val="auto"/>
          <w:sz w:val="32"/>
          <w:szCs w:val="32"/>
          <w:highlight w:val="none"/>
        </w:rPr>
        <w:t>项目编号：采购计划-[2026]-00106号-BX20260929</w:t>
      </w:r>
    </w:p>
    <w:p w14:paraId="1E2238E5">
      <w:pPr>
        <w:ind w:firstLine="420"/>
        <w:rPr>
          <w:color w:val="auto"/>
          <w:highlight w:val="none"/>
        </w:rPr>
      </w:pPr>
    </w:p>
    <w:p w14:paraId="1C0105C6">
      <w:pPr>
        <w:ind w:firstLine="420"/>
        <w:rPr>
          <w:rFonts w:hint="eastAsia"/>
          <w:color w:val="auto"/>
          <w:highlight w:val="none"/>
        </w:rPr>
      </w:pPr>
    </w:p>
    <w:p w14:paraId="2FEF558D">
      <w:pPr>
        <w:ind w:left="0" w:leftChars="0" w:firstLine="0" w:firstLineChars="0"/>
        <w:rPr>
          <w:color w:val="auto"/>
          <w:highlight w:val="none"/>
        </w:rPr>
      </w:pPr>
    </w:p>
    <w:p w14:paraId="5D89971E">
      <w:pPr>
        <w:ind w:firstLine="420"/>
        <w:rPr>
          <w:color w:val="auto"/>
          <w:highlight w:val="none"/>
        </w:rPr>
      </w:pPr>
    </w:p>
    <w:p w14:paraId="2F566111">
      <w:pPr>
        <w:ind w:firstLine="422"/>
        <w:rPr>
          <w:b/>
          <w:bCs/>
          <w:color w:val="auto"/>
          <w:highlight w:val="none"/>
        </w:rPr>
      </w:pPr>
    </w:p>
    <w:p w14:paraId="02EDF601">
      <w:pPr>
        <w:ind w:left="0" w:leftChars="0" w:firstLine="0" w:firstLineChars="0"/>
        <w:rPr>
          <w:b/>
          <w:bCs/>
          <w:color w:val="auto"/>
          <w:highlight w:val="none"/>
        </w:rPr>
      </w:pPr>
    </w:p>
    <w:p w14:paraId="328503A1">
      <w:pPr>
        <w:ind w:firstLine="422"/>
        <w:rPr>
          <w:b/>
          <w:bCs/>
          <w:color w:val="auto"/>
          <w:highlight w:val="none"/>
        </w:rPr>
      </w:pPr>
    </w:p>
    <w:p w14:paraId="2F49D6F1">
      <w:pPr>
        <w:wordWrap/>
        <w:topLinePunct w:val="0"/>
        <w:ind w:firstLine="1285" w:firstLineChars="400"/>
        <w:rPr>
          <w:rFonts w:hint="default" w:hAnsi="宋体" w:eastAsia="宋体" w:cs="宋体"/>
          <w:b/>
          <w:bCs/>
          <w:color w:val="auto"/>
          <w:sz w:val="32"/>
          <w:szCs w:val="32"/>
          <w:highlight w:val="none"/>
          <w:lang w:val="en-US" w:eastAsia="zh-CN"/>
        </w:rPr>
      </w:pPr>
      <w:r>
        <w:rPr>
          <w:rFonts w:hint="eastAsia" w:hAnsi="宋体" w:cs="宋体"/>
          <w:b/>
          <w:bCs/>
          <w:color w:val="auto"/>
          <w:sz w:val="32"/>
          <w:szCs w:val="32"/>
          <w:highlight w:val="none"/>
        </w:rPr>
        <w:t>采购人：</w:t>
      </w:r>
      <w:r>
        <w:rPr>
          <w:rFonts w:hint="eastAsia" w:hAnsi="宋体" w:cs="宋体"/>
          <w:b/>
          <w:bCs/>
          <w:color w:val="auto"/>
          <w:sz w:val="32"/>
          <w:szCs w:val="32"/>
          <w:highlight w:val="none"/>
          <w:lang w:val="en-US" w:eastAsia="zh-CN"/>
        </w:rPr>
        <w:t>扶余市卫生健康局（扶余市中医院管理局）</w:t>
      </w:r>
    </w:p>
    <w:p w14:paraId="27E0E392">
      <w:pPr>
        <w:ind w:firstLine="420"/>
        <w:rPr>
          <w:color w:val="auto"/>
          <w:highlight w:val="none"/>
        </w:rPr>
      </w:pPr>
    </w:p>
    <w:p w14:paraId="4CCC5E90">
      <w:pPr>
        <w:wordWrap/>
        <w:topLinePunct w:val="0"/>
        <w:ind w:firstLine="1285" w:firstLineChars="400"/>
        <w:rPr>
          <w:rFonts w:hint="eastAsia" w:hAnsi="宋体" w:eastAsia="宋体" w:cs="宋体"/>
          <w:b/>
          <w:bCs/>
          <w:color w:val="auto"/>
          <w:sz w:val="32"/>
          <w:szCs w:val="32"/>
          <w:highlight w:val="none"/>
          <w:lang w:val="en-US" w:eastAsia="zh-CN"/>
        </w:rPr>
      </w:pPr>
      <w:r>
        <w:rPr>
          <w:rFonts w:hint="eastAsia" w:hAnsi="宋体" w:cs="宋体"/>
          <w:b/>
          <w:bCs/>
          <w:color w:val="auto"/>
          <w:sz w:val="32"/>
          <w:szCs w:val="32"/>
          <w:highlight w:val="none"/>
        </w:rPr>
        <w:t>采购代理机构：</w:t>
      </w:r>
      <w:r>
        <w:rPr>
          <w:rFonts w:hint="eastAsia" w:hAnsi="宋体" w:cs="宋体"/>
          <w:b/>
          <w:bCs/>
          <w:color w:val="auto"/>
          <w:sz w:val="32"/>
          <w:szCs w:val="32"/>
          <w:highlight w:val="none"/>
          <w:lang w:val="en-US" w:eastAsia="zh-CN"/>
        </w:rPr>
        <w:t>吉林省博翔工程咨询有限公司</w:t>
      </w:r>
    </w:p>
    <w:p w14:paraId="3874FF9E">
      <w:pPr>
        <w:ind w:firstLine="420"/>
        <w:rPr>
          <w:color w:val="auto"/>
          <w:highlight w:val="none"/>
        </w:rPr>
      </w:pPr>
    </w:p>
    <w:p w14:paraId="5CCFE3CC">
      <w:pPr>
        <w:wordWrap/>
        <w:topLinePunct w:val="0"/>
        <w:ind w:firstLine="3534" w:firstLineChars="1100"/>
        <w:rPr>
          <w:rFonts w:hint="eastAsia" w:hAnsi="宋体" w:cs="宋体"/>
          <w:color w:val="auto"/>
          <w:sz w:val="32"/>
          <w:szCs w:val="32"/>
          <w:highlight w:val="none"/>
        </w:rPr>
      </w:pPr>
      <w:r>
        <w:rPr>
          <w:rFonts w:hint="eastAsia" w:ascii="宋体" w:hAnsi="宋体" w:eastAsia="宋体" w:cs="宋体"/>
          <w:b/>
          <w:color w:val="auto"/>
          <w:sz w:val="32"/>
          <w:szCs w:val="32"/>
          <w:highlight w:val="none"/>
        </w:rPr>
        <w:t>二〇二</w:t>
      </w:r>
      <w:r>
        <w:rPr>
          <w:rFonts w:hint="eastAsia" w:ascii="宋体" w:hAnsi="宋体" w:cs="宋体"/>
          <w:b/>
          <w:color w:val="auto"/>
          <w:sz w:val="32"/>
          <w:szCs w:val="32"/>
          <w:highlight w:val="none"/>
          <w:lang w:val="en-US" w:eastAsia="zh-CN"/>
        </w:rPr>
        <w:t>六</w:t>
      </w:r>
      <w:r>
        <w:rPr>
          <w:rFonts w:hint="eastAsia" w:ascii="宋体" w:hAnsi="宋体" w:eastAsia="宋体" w:cs="宋体"/>
          <w:b/>
          <w:color w:val="auto"/>
          <w:sz w:val="32"/>
          <w:szCs w:val="32"/>
          <w:highlight w:val="none"/>
        </w:rPr>
        <w:t>年</w:t>
      </w:r>
      <w:r>
        <w:rPr>
          <w:rFonts w:hint="eastAsia" w:ascii="宋体" w:hAnsi="宋体" w:eastAsia="宋体" w:cs="宋体"/>
          <w:b/>
          <w:color w:val="auto"/>
          <w:sz w:val="32"/>
          <w:szCs w:val="32"/>
          <w:highlight w:val="none"/>
          <w:lang w:val="en-US" w:eastAsia="zh-CN"/>
        </w:rPr>
        <w:t>九</w:t>
      </w:r>
      <w:r>
        <w:rPr>
          <w:rFonts w:hint="eastAsia" w:ascii="宋体" w:hAnsi="宋体" w:eastAsia="宋体" w:cs="宋体"/>
          <w:b/>
          <w:color w:val="auto"/>
          <w:sz w:val="32"/>
          <w:szCs w:val="32"/>
          <w:highlight w:val="none"/>
        </w:rPr>
        <w:t>月</w:t>
      </w:r>
    </w:p>
    <w:p w14:paraId="3316B257">
      <w:pPr>
        <w:wordWrap/>
        <w:topLinePunct w:val="0"/>
        <w:ind w:firstLine="640"/>
        <w:rPr>
          <w:rFonts w:hint="eastAsia" w:hAnsi="宋体" w:cs="宋体"/>
          <w:color w:val="auto"/>
          <w:sz w:val="32"/>
          <w:szCs w:val="32"/>
          <w:highlight w:val="none"/>
        </w:rPr>
        <w:sectPr>
          <w:headerReference r:id="rId7" w:type="first"/>
          <w:footerReference r:id="rId10" w:type="first"/>
          <w:headerReference r:id="rId5" w:type="default"/>
          <w:footerReference r:id="rId8" w:type="default"/>
          <w:headerReference r:id="rId6" w:type="even"/>
          <w:footerReference r:id="rId9" w:type="even"/>
          <w:pgSz w:w="11905" w:h="16838"/>
          <w:pgMar w:top="1440" w:right="1803" w:bottom="1440" w:left="1803" w:header="850" w:footer="850" w:gutter="0"/>
          <w:pgNumType w:start="1"/>
          <w:cols w:space="0" w:num="1"/>
          <w:rtlGutter w:val="0"/>
          <w:docGrid w:linePitch="312" w:charSpace="0"/>
        </w:sectPr>
      </w:pPr>
    </w:p>
    <w:p w14:paraId="3D35F7CB">
      <w:pPr>
        <w:pStyle w:val="13"/>
        <w:tabs>
          <w:tab w:val="right" w:leader="dot" w:pos="8392"/>
        </w:tabs>
        <w:wordWrap/>
        <w:ind w:left="0" w:firstLine="0" w:firstLineChars="0"/>
        <w:jc w:val="center"/>
        <w:rPr>
          <w:rFonts w:hint="eastAsia" w:hAnsi="宋体" w:cs="宋体"/>
          <w:b/>
          <w:bCs/>
          <w:color w:val="auto"/>
          <w:kern w:val="0"/>
          <w:sz w:val="32"/>
          <w:szCs w:val="32"/>
          <w:highlight w:val="none"/>
        </w:rPr>
      </w:pPr>
      <w:r>
        <w:rPr>
          <w:rFonts w:hint="eastAsia" w:hAnsi="宋体" w:cs="宋体"/>
          <w:b/>
          <w:bCs/>
          <w:color w:val="auto"/>
          <w:kern w:val="0"/>
          <w:sz w:val="32"/>
          <w:szCs w:val="32"/>
          <w:highlight w:val="none"/>
        </w:rPr>
        <w:t>目  录</w:t>
      </w:r>
    </w:p>
    <w:sdt>
      <w:sdtPr>
        <w:rPr>
          <w:rFonts w:ascii="宋体" w:hAnsi="宋体" w:eastAsia="宋体" w:cs="Times New Roman"/>
          <w:color w:val="auto"/>
          <w:kern w:val="21"/>
          <w:sz w:val="21"/>
          <w:szCs w:val="22"/>
          <w:highlight w:val="none"/>
          <w:lang w:val="en-US" w:eastAsia="zh-CN" w:bidi="ar-SA"/>
        </w:rPr>
        <w:id w:val="147451769"/>
        <w15:color w:val="DBDBDB"/>
        <w:docPartObj>
          <w:docPartGallery w:val="Table of Contents"/>
          <w:docPartUnique/>
        </w:docPartObj>
      </w:sdtPr>
      <w:sdtEndPr>
        <w:rPr>
          <w:rFonts w:hint="eastAsia" w:ascii="宋体" w:hAnsi="Times New Roman" w:eastAsia="宋体" w:cs="Times New Roman"/>
          <w:color w:val="auto"/>
          <w:kern w:val="21"/>
          <w:sz w:val="21"/>
          <w:szCs w:val="22"/>
          <w:highlight w:val="none"/>
          <w:lang w:val="en-US" w:eastAsia="zh-CN" w:bidi="ar-SA"/>
        </w:rPr>
      </w:sdtEndPr>
      <w:sdtContent>
        <w:p w14:paraId="72AB1EFE">
          <w:pPr>
            <w:spacing w:before="0" w:beforeLines="0" w:after="0" w:afterLines="0" w:line="240" w:lineRule="auto"/>
            <w:ind w:left="0" w:leftChars="0" w:right="0" w:rightChars="0" w:firstLine="0" w:firstLineChars="0"/>
            <w:jc w:val="center"/>
            <w:rPr>
              <w:color w:val="auto"/>
              <w:highlight w:val="none"/>
            </w:rPr>
          </w:pPr>
        </w:p>
        <w:p w14:paraId="2C498F5C">
          <w:pPr>
            <w:pStyle w:val="12"/>
            <w:tabs>
              <w:tab w:val="right" w:leader="dot" w:pos="8299"/>
              <w:tab w:val="clear" w:pos="9061"/>
            </w:tabs>
          </w:pPr>
          <w:r>
            <w:rPr>
              <w:rFonts w:hint="eastAsia"/>
              <w:color w:val="auto"/>
              <w:highlight w:val="none"/>
            </w:rPr>
            <w:fldChar w:fldCharType="begin"/>
          </w:r>
          <w:r>
            <w:rPr>
              <w:rFonts w:hint="eastAsia"/>
              <w:color w:val="auto"/>
              <w:highlight w:val="none"/>
            </w:rPr>
            <w:instrText xml:space="preserve">TOC \o "1-1" \h \u </w:instrText>
          </w:r>
          <w:r>
            <w:rPr>
              <w:rFonts w:hint="eastAsia"/>
              <w:color w:val="auto"/>
              <w:highlight w:val="none"/>
            </w:rPr>
            <w:fldChar w:fldCharType="separate"/>
          </w:r>
          <w:r>
            <w:rPr>
              <w:rFonts w:hint="eastAsia"/>
              <w:color w:val="auto"/>
              <w:highlight w:val="none"/>
            </w:rPr>
            <w:fldChar w:fldCharType="begin"/>
          </w:r>
          <w:r>
            <w:rPr>
              <w:rFonts w:hint="eastAsia"/>
              <w:highlight w:val="none"/>
            </w:rPr>
            <w:instrText xml:space="preserve"> HYPERLINK \l _Toc13841 </w:instrText>
          </w:r>
          <w:r>
            <w:rPr>
              <w:rFonts w:hint="eastAsia"/>
              <w:highlight w:val="none"/>
            </w:rPr>
            <w:fldChar w:fldCharType="separate"/>
          </w:r>
          <w:r>
            <w:rPr>
              <w:rFonts w:hint="eastAsia"/>
              <w:highlight w:val="none"/>
            </w:rPr>
            <w:t>第一章 招标公告</w:t>
          </w:r>
          <w:r>
            <w:tab/>
          </w:r>
          <w:r>
            <w:fldChar w:fldCharType="begin"/>
          </w:r>
          <w:r>
            <w:instrText xml:space="preserve"> PAGEREF _Toc13841 \h </w:instrText>
          </w:r>
          <w:r>
            <w:fldChar w:fldCharType="separate"/>
          </w:r>
          <w:r>
            <w:t>1</w:t>
          </w:r>
          <w:r>
            <w:fldChar w:fldCharType="end"/>
          </w:r>
          <w:r>
            <w:rPr>
              <w:rFonts w:hint="eastAsia"/>
              <w:color w:val="auto"/>
              <w:highlight w:val="none"/>
            </w:rPr>
            <w:fldChar w:fldCharType="end"/>
          </w:r>
        </w:p>
        <w:p w14:paraId="3A8C8667">
          <w:pPr>
            <w:pStyle w:val="12"/>
            <w:tabs>
              <w:tab w:val="right" w:leader="dot" w:pos="8299"/>
              <w:tab w:val="clear" w:pos="9061"/>
            </w:tabs>
          </w:pPr>
          <w:r>
            <w:rPr>
              <w:rFonts w:hint="eastAsia"/>
              <w:color w:val="auto"/>
              <w:highlight w:val="none"/>
            </w:rPr>
            <w:fldChar w:fldCharType="begin"/>
          </w:r>
          <w:r>
            <w:rPr>
              <w:rFonts w:hint="eastAsia"/>
              <w:highlight w:val="none"/>
            </w:rPr>
            <w:instrText xml:space="preserve"> HYPERLINK \l _Toc23340 </w:instrText>
          </w:r>
          <w:r>
            <w:rPr>
              <w:rFonts w:hint="eastAsia"/>
              <w:highlight w:val="none"/>
            </w:rPr>
            <w:fldChar w:fldCharType="separate"/>
          </w:r>
          <w:r>
            <w:rPr>
              <w:rFonts w:hint="eastAsia"/>
              <w:highlight w:val="none"/>
            </w:rPr>
            <w:t xml:space="preserve">第二章 </w:t>
          </w:r>
          <w:r>
            <w:rPr>
              <w:rFonts w:hint="eastAsia"/>
              <w:highlight w:val="none"/>
              <w:lang w:eastAsia="zh-CN"/>
            </w:rPr>
            <w:t>投标人</w:t>
          </w:r>
          <w:r>
            <w:rPr>
              <w:rFonts w:hint="eastAsia"/>
              <w:highlight w:val="none"/>
            </w:rPr>
            <w:t>须知</w:t>
          </w:r>
          <w:r>
            <w:tab/>
          </w:r>
          <w:r>
            <w:fldChar w:fldCharType="begin"/>
          </w:r>
          <w:r>
            <w:instrText xml:space="preserve"> PAGEREF _Toc23340 \h </w:instrText>
          </w:r>
          <w:r>
            <w:fldChar w:fldCharType="separate"/>
          </w:r>
          <w:r>
            <w:t>6</w:t>
          </w:r>
          <w:r>
            <w:fldChar w:fldCharType="end"/>
          </w:r>
          <w:r>
            <w:rPr>
              <w:rFonts w:hint="eastAsia"/>
              <w:color w:val="auto"/>
              <w:highlight w:val="none"/>
            </w:rPr>
            <w:fldChar w:fldCharType="end"/>
          </w:r>
        </w:p>
        <w:p w14:paraId="6B1E7D5D">
          <w:pPr>
            <w:pStyle w:val="12"/>
            <w:tabs>
              <w:tab w:val="right" w:leader="dot" w:pos="8299"/>
              <w:tab w:val="clear" w:pos="9061"/>
            </w:tabs>
          </w:pPr>
          <w:r>
            <w:rPr>
              <w:rFonts w:hint="eastAsia"/>
              <w:color w:val="auto"/>
              <w:highlight w:val="none"/>
            </w:rPr>
            <w:fldChar w:fldCharType="begin"/>
          </w:r>
          <w:r>
            <w:rPr>
              <w:rFonts w:hint="eastAsia"/>
              <w:highlight w:val="none"/>
            </w:rPr>
            <w:instrText xml:space="preserve"> HYPERLINK \l _Toc32090 </w:instrText>
          </w:r>
          <w:r>
            <w:rPr>
              <w:rFonts w:hint="eastAsia"/>
              <w:highlight w:val="none"/>
            </w:rPr>
            <w:fldChar w:fldCharType="separate"/>
          </w:r>
          <w:r>
            <w:rPr>
              <w:rFonts w:hint="eastAsia"/>
              <w:highlight w:val="none"/>
            </w:rPr>
            <w:t>第三章 评标办法（综合评分法）</w:t>
          </w:r>
          <w:r>
            <w:tab/>
          </w:r>
          <w:r>
            <w:fldChar w:fldCharType="begin"/>
          </w:r>
          <w:r>
            <w:instrText xml:space="preserve"> PAGEREF _Toc32090 \h </w:instrText>
          </w:r>
          <w:r>
            <w:fldChar w:fldCharType="separate"/>
          </w:r>
          <w:r>
            <w:t>50</w:t>
          </w:r>
          <w:r>
            <w:fldChar w:fldCharType="end"/>
          </w:r>
          <w:r>
            <w:rPr>
              <w:rFonts w:hint="eastAsia"/>
              <w:color w:val="auto"/>
              <w:highlight w:val="none"/>
            </w:rPr>
            <w:fldChar w:fldCharType="end"/>
          </w:r>
        </w:p>
        <w:p w14:paraId="222DE87C">
          <w:pPr>
            <w:pStyle w:val="12"/>
            <w:tabs>
              <w:tab w:val="right" w:leader="dot" w:pos="8299"/>
              <w:tab w:val="clear" w:pos="9061"/>
            </w:tabs>
          </w:pPr>
          <w:r>
            <w:rPr>
              <w:rFonts w:hint="eastAsia"/>
              <w:color w:val="auto"/>
              <w:highlight w:val="none"/>
            </w:rPr>
            <w:fldChar w:fldCharType="begin"/>
          </w:r>
          <w:r>
            <w:rPr>
              <w:rFonts w:hint="eastAsia"/>
              <w:highlight w:val="none"/>
            </w:rPr>
            <w:instrText xml:space="preserve"> HYPERLINK \l _Toc27840 </w:instrText>
          </w:r>
          <w:r>
            <w:rPr>
              <w:rFonts w:hint="eastAsia"/>
              <w:highlight w:val="none"/>
            </w:rPr>
            <w:fldChar w:fldCharType="separate"/>
          </w:r>
          <w:r>
            <w:rPr>
              <w:rFonts w:hint="eastAsia"/>
              <w:highlight w:val="none"/>
            </w:rPr>
            <w:t>第四章 合同条款及格式</w:t>
          </w:r>
          <w:r>
            <w:tab/>
          </w:r>
          <w:r>
            <w:fldChar w:fldCharType="begin"/>
          </w:r>
          <w:r>
            <w:instrText xml:space="preserve"> PAGEREF _Toc27840 \h </w:instrText>
          </w:r>
          <w:r>
            <w:fldChar w:fldCharType="separate"/>
          </w:r>
          <w:r>
            <w:t>57</w:t>
          </w:r>
          <w:r>
            <w:fldChar w:fldCharType="end"/>
          </w:r>
          <w:r>
            <w:rPr>
              <w:rFonts w:hint="eastAsia"/>
              <w:color w:val="auto"/>
              <w:highlight w:val="none"/>
            </w:rPr>
            <w:fldChar w:fldCharType="end"/>
          </w:r>
        </w:p>
        <w:p w14:paraId="2AD2F35A">
          <w:pPr>
            <w:pStyle w:val="12"/>
            <w:tabs>
              <w:tab w:val="right" w:leader="dot" w:pos="8299"/>
              <w:tab w:val="clear" w:pos="9061"/>
            </w:tabs>
          </w:pPr>
          <w:r>
            <w:rPr>
              <w:rFonts w:hint="eastAsia"/>
              <w:color w:val="auto"/>
              <w:highlight w:val="none"/>
            </w:rPr>
            <w:fldChar w:fldCharType="begin"/>
          </w:r>
          <w:r>
            <w:rPr>
              <w:rFonts w:hint="eastAsia"/>
              <w:highlight w:val="none"/>
            </w:rPr>
            <w:instrText xml:space="preserve"> HYPERLINK \l _Toc15724 </w:instrText>
          </w:r>
          <w:r>
            <w:rPr>
              <w:rFonts w:hint="eastAsia"/>
              <w:highlight w:val="none"/>
            </w:rPr>
            <w:fldChar w:fldCharType="separate"/>
          </w:r>
          <w:r>
            <w:rPr>
              <w:rFonts w:hint="eastAsia"/>
              <w:highlight w:val="none"/>
              <w:lang w:val="en-US" w:eastAsia="zh-CN"/>
            </w:rPr>
            <w:t xml:space="preserve">第五章 </w:t>
          </w:r>
          <w:r>
            <w:rPr>
              <w:rFonts w:hint="eastAsia"/>
              <w:highlight w:val="none"/>
            </w:rPr>
            <w:t>采购需求</w:t>
          </w:r>
          <w:r>
            <w:tab/>
          </w:r>
          <w:r>
            <w:fldChar w:fldCharType="begin"/>
          </w:r>
          <w:r>
            <w:instrText xml:space="preserve"> PAGEREF _Toc15724 \h </w:instrText>
          </w:r>
          <w:r>
            <w:fldChar w:fldCharType="separate"/>
          </w:r>
          <w:r>
            <w:t>58</w:t>
          </w:r>
          <w:r>
            <w:fldChar w:fldCharType="end"/>
          </w:r>
          <w:r>
            <w:rPr>
              <w:rFonts w:hint="eastAsia"/>
              <w:color w:val="auto"/>
              <w:highlight w:val="none"/>
            </w:rPr>
            <w:fldChar w:fldCharType="end"/>
          </w:r>
        </w:p>
        <w:p w14:paraId="1B303EFC">
          <w:pPr>
            <w:pStyle w:val="12"/>
            <w:tabs>
              <w:tab w:val="right" w:leader="dot" w:pos="8299"/>
              <w:tab w:val="clear" w:pos="9061"/>
            </w:tabs>
          </w:pPr>
          <w:r>
            <w:rPr>
              <w:rFonts w:hint="eastAsia"/>
              <w:color w:val="auto"/>
              <w:highlight w:val="none"/>
            </w:rPr>
            <w:fldChar w:fldCharType="begin"/>
          </w:r>
          <w:r>
            <w:rPr>
              <w:rFonts w:hint="eastAsia"/>
              <w:highlight w:val="none"/>
            </w:rPr>
            <w:instrText xml:space="preserve"> HYPERLINK \l _Toc19644 </w:instrText>
          </w:r>
          <w:r>
            <w:rPr>
              <w:rFonts w:hint="eastAsia"/>
              <w:highlight w:val="none"/>
            </w:rPr>
            <w:fldChar w:fldCharType="separate"/>
          </w:r>
          <w:r>
            <w:rPr>
              <w:rFonts w:hint="eastAsia"/>
              <w:highlight w:val="none"/>
            </w:rPr>
            <w:t>第六章 投标文件格式</w:t>
          </w:r>
          <w:r>
            <w:tab/>
          </w:r>
          <w:r>
            <w:fldChar w:fldCharType="begin"/>
          </w:r>
          <w:r>
            <w:instrText xml:space="preserve"> PAGEREF _Toc19644 \h </w:instrText>
          </w:r>
          <w:r>
            <w:fldChar w:fldCharType="separate"/>
          </w:r>
          <w:r>
            <w:t>60</w:t>
          </w:r>
          <w:r>
            <w:fldChar w:fldCharType="end"/>
          </w:r>
          <w:r>
            <w:rPr>
              <w:rFonts w:hint="eastAsia"/>
              <w:color w:val="auto"/>
              <w:highlight w:val="none"/>
            </w:rPr>
            <w:fldChar w:fldCharType="end"/>
          </w:r>
        </w:p>
        <w:p w14:paraId="3FCB6D67">
          <w:pPr>
            <w:ind w:firstLine="420"/>
            <w:rPr>
              <w:rFonts w:hint="eastAsia" w:ascii="宋体" w:hAnsi="Times New Roman" w:eastAsia="宋体" w:cs="Times New Roman"/>
              <w:color w:val="auto"/>
              <w:kern w:val="21"/>
              <w:sz w:val="21"/>
              <w:szCs w:val="22"/>
              <w:highlight w:val="none"/>
              <w:lang w:val="en-US" w:eastAsia="zh-CN" w:bidi="ar-SA"/>
            </w:rPr>
          </w:pPr>
          <w:r>
            <w:rPr>
              <w:rFonts w:hint="eastAsia"/>
              <w:color w:val="auto"/>
              <w:highlight w:val="none"/>
            </w:rPr>
            <w:fldChar w:fldCharType="end"/>
          </w:r>
        </w:p>
      </w:sdtContent>
    </w:sdt>
    <w:p w14:paraId="5929612C">
      <w:pPr>
        <w:ind w:firstLine="420"/>
        <w:rPr>
          <w:rFonts w:hint="eastAsia" w:ascii="宋体" w:hAnsi="Times New Roman" w:eastAsia="宋体" w:cs="Times New Roman"/>
          <w:color w:val="auto"/>
          <w:kern w:val="21"/>
          <w:sz w:val="21"/>
          <w:szCs w:val="22"/>
          <w:highlight w:val="none"/>
          <w:lang w:val="en-US" w:eastAsia="zh-CN" w:bidi="ar-SA"/>
        </w:rPr>
      </w:pPr>
    </w:p>
    <w:p w14:paraId="49ADC28E">
      <w:pPr>
        <w:ind w:firstLine="420"/>
        <w:rPr>
          <w:rFonts w:hint="eastAsia"/>
          <w:color w:val="auto"/>
          <w:highlight w:val="none"/>
        </w:rPr>
      </w:pPr>
    </w:p>
    <w:p w14:paraId="19A6A8E2">
      <w:pPr>
        <w:ind w:firstLine="420"/>
        <w:rPr>
          <w:rFonts w:hint="eastAsia"/>
          <w:color w:val="auto"/>
          <w:highlight w:val="none"/>
        </w:rPr>
        <w:sectPr>
          <w:headerReference r:id="rId11" w:type="default"/>
          <w:footerReference r:id="rId12" w:type="default"/>
          <w:footerReference r:id="rId13" w:type="even"/>
          <w:pgSz w:w="11905" w:h="16838"/>
          <w:pgMar w:top="1440" w:right="1803" w:bottom="1440" w:left="1803" w:header="850" w:footer="850" w:gutter="0"/>
          <w:cols w:space="0" w:num="1"/>
          <w:rtlGutter w:val="0"/>
          <w:docGrid w:linePitch="490" w:charSpace="0"/>
        </w:sectPr>
      </w:pPr>
    </w:p>
    <w:p w14:paraId="16207D5E">
      <w:pPr>
        <w:pStyle w:val="2"/>
        <w:rPr>
          <w:color w:val="auto"/>
          <w:highlight w:val="none"/>
        </w:rPr>
      </w:pPr>
      <w:bookmarkStart w:id="0" w:name="_Toc21773"/>
      <w:bookmarkStart w:id="1" w:name="_Toc13841"/>
      <w:r>
        <w:rPr>
          <w:rFonts w:hint="eastAsia"/>
          <w:color w:val="auto"/>
          <w:highlight w:val="none"/>
        </w:rPr>
        <w:t>第一章 招标公告</w:t>
      </w:r>
      <w:bookmarkEnd w:id="0"/>
      <w:bookmarkEnd w:id="1"/>
    </w:p>
    <w:p w14:paraId="1E3980C5">
      <w:pPr>
        <w:keepNext w:val="0"/>
        <w:keepLines w:val="0"/>
        <w:pageBreakBefore w:val="0"/>
        <w:widowControl w:val="0"/>
        <w:kinsoku/>
        <w:wordWrap w:val="0"/>
        <w:overflowPunct/>
        <w:topLinePunct/>
        <w:autoSpaceDE/>
        <w:autoSpaceDN/>
        <w:bidi w:val="0"/>
        <w:adjustRightInd/>
        <w:snapToGrid/>
        <w:spacing w:line="480" w:lineRule="auto"/>
        <w:ind w:left="0" w:leftChars="0" w:firstLine="0" w:firstLineChars="0"/>
        <w:textAlignment w:val="auto"/>
        <w:rPr>
          <w:rFonts w:hint="eastAsia" w:hAnsi="宋体" w:cs="宋体"/>
          <w:b/>
          <w:bCs/>
          <w:color w:val="auto"/>
          <w:sz w:val="24"/>
          <w:szCs w:val="24"/>
          <w:highlight w:val="none"/>
        </w:rPr>
      </w:pPr>
      <w:bookmarkStart w:id="2" w:name="_Toc35393621"/>
      <w:bookmarkStart w:id="3" w:name="_Toc28359002"/>
      <w:bookmarkStart w:id="4" w:name="_Toc28359079"/>
      <w:bookmarkStart w:id="5" w:name="_Toc35393790"/>
      <w:r>
        <w:rPr>
          <w:rFonts w:hint="eastAsia" w:hAnsi="宋体" w:cs="宋体"/>
          <w:b/>
          <w:bCs/>
          <w:color w:val="auto"/>
          <w:sz w:val="24"/>
          <w:szCs w:val="24"/>
          <w:highlight w:val="none"/>
        </w:rPr>
        <w:t>项目概况</w:t>
      </w:r>
    </w:p>
    <w:p w14:paraId="2175A7EA">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hAnsi="宋体" w:cs="宋体"/>
          <w:color w:val="auto"/>
          <w:sz w:val="24"/>
          <w:szCs w:val="24"/>
          <w:highlight w:val="none"/>
        </w:rPr>
      </w:pPr>
      <w:r>
        <w:rPr>
          <w:rFonts w:hint="eastAsia" w:hAnsi="宋体" w:cs="宋体"/>
          <w:color w:val="auto"/>
          <w:sz w:val="24"/>
          <w:szCs w:val="24"/>
          <w:highlight w:val="none"/>
          <w:lang w:eastAsia="zh-CN"/>
        </w:rPr>
        <w:t>2026年冬季扶余市乡镇卫生院取暖燃料生物质颗粒采购项目</w:t>
      </w:r>
      <w:r>
        <w:rPr>
          <w:rFonts w:hint="eastAsia" w:hAnsi="宋体" w:cs="宋体"/>
          <w:color w:val="auto"/>
          <w:sz w:val="24"/>
          <w:szCs w:val="24"/>
          <w:highlight w:val="none"/>
        </w:rPr>
        <w:t>的潜在</w:t>
      </w:r>
      <w:r>
        <w:rPr>
          <w:rFonts w:hint="eastAsia" w:hAnsi="宋体" w:cs="宋体"/>
          <w:color w:val="auto"/>
          <w:sz w:val="24"/>
          <w:szCs w:val="24"/>
          <w:highlight w:val="none"/>
          <w:lang w:eastAsia="zh-CN"/>
        </w:rPr>
        <w:t>投标人</w:t>
      </w:r>
      <w:r>
        <w:rPr>
          <w:rFonts w:hint="eastAsia" w:hAnsi="宋体" w:cs="宋体"/>
          <w:color w:val="auto"/>
          <w:sz w:val="24"/>
          <w:szCs w:val="24"/>
          <w:highlight w:val="none"/>
        </w:rPr>
        <w:t>应在“政采云”平台（http：//www.zcygov.cn）获取招标文件，并于</w:t>
      </w:r>
      <w:r>
        <w:rPr>
          <w:rFonts w:hint="eastAsia" w:hAnsi="宋体" w:cs="宋体"/>
          <w:color w:val="auto"/>
          <w:sz w:val="24"/>
          <w:szCs w:val="24"/>
          <w:highlight w:val="none"/>
          <w:lang w:eastAsia="zh-CN"/>
        </w:rPr>
        <w:t>2026年</w:t>
      </w:r>
      <w:r>
        <w:rPr>
          <w:rFonts w:hint="eastAsia" w:hAnsi="宋体" w:cs="宋体"/>
          <w:color w:val="auto"/>
          <w:sz w:val="24"/>
          <w:szCs w:val="24"/>
          <w:highlight w:val="none"/>
          <w:lang w:val="en-US" w:eastAsia="zh-CN"/>
        </w:rPr>
        <w:t>10</w:t>
      </w:r>
      <w:r>
        <w:rPr>
          <w:rFonts w:hint="eastAsia" w:hAnsi="宋体" w:cs="宋体"/>
          <w:color w:val="auto"/>
          <w:sz w:val="24"/>
          <w:szCs w:val="24"/>
          <w:highlight w:val="none"/>
          <w:lang w:eastAsia="zh-CN"/>
        </w:rPr>
        <w:t>月</w:t>
      </w:r>
      <w:r>
        <w:rPr>
          <w:rFonts w:hint="eastAsia" w:hAnsi="宋体" w:cs="宋体"/>
          <w:color w:val="auto"/>
          <w:sz w:val="24"/>
          <w:szCs w:val="24"/>
          <w:highlight w:val="none"/>
          <w:lang w:val="en-US" w:eastAsia="zh-CN"/>
        </w:rPr>
        <w:t>23</w:t>
      </w:r>
      <w:r>
        <w:rPr>
          <w:rFonts w:hint="eastAsia" w:hAnsi="宋体" w:cs="宋体"/>
          <w:color w:val="auto"/>
          <w:sz w:val="24"/>
          <w:szCs w:val="24"/>
          <w:highlight w:val="none"/>
          <w:lang w:eastAsia="zh-CN"/>
        </w:rPr>
        <w:t>日</w:t>
      </w:r>
      <w:r>
        <w:rPr>
          <w:rFonts w:hint="eastAsia" w:hAnsi="宋体" w:cs="宋体"/>
          <w:color w:val="auto"/>
          <w:sz w:val="24"/>
          <w:szCs w:val="24"/>
          <w:highlight w:val="none"/>
          <w:lang w:val="en-US" w:eastAsia="zh-CN"/>
        </w:rPr>
        <w:t>10</w:t>
      </w:r>
      <w:r>
        <w:rPr>
          <w:rFonts w:hint="eastAsia" w:hAnsi="宋体" w:cs="宋体"/>
          <w:color w:val="auto"/>
          <w:sz w:val="24"/>
          <w:szCs w:val="24"/>
          <w:highlight w:val="none"/>
          <w:lang w:eastAsia="zh-CN"/>
        </w:rPr>
        <w:t>点</w:t>
      </w:r>
      <w:r>
        <w:rPr>
          <w:rFonts w:hint="eastAsia" w:hAnsi="宋体" w:cs="宋体"/>
          <w:color w:val="auto"/>
          <w:sz w:val="24"/>
          <w:szCs w:val="24"/>
          <w:highlight w:val="none"/>
          <w:lang w:val="en-US" w:eastAsia="zh-CN"/>
        </w:rPr>
        <w:t>00</w:t>
      </w:r>
      <w:r>
        <w:rPr>
          <w:rFonts w:hint="eastAsia" w:hAnsi="宋体" w:cs="宋体"/>
          <w:color w:val="auto"/>
          <w:sz w:val="24"/>
          <w:szCs w:val="24"/>
          <w:highlight w:val="none"/>
          <w:lang w:eastAsia="zh-CN"/>
        </w:rPr>
        <w:t>分</w:t>
      </w:r>
      <w:r>
        <w:rPr>
          <w:rFonts w:hint="eastAsia" w:hAnsi="宋体" w:cs="宋体"/>
          <w:color w:val="auto"/>
          <w:sz w:val="24"/>
          <w:szCs w:val="24"/>
          <w:highlight w:val="none"/>
        </w:rPr>
        <w:t>（北京时间）前提交投标文件。</w:t>
      </w:r>
    </w:p>
    <w:p w14:paraId="4FAC0533">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hAnsi="宋体" w:cs="宋体"/>
          <w:b/>
          <w:bCs/>
          <w:color w:val="auto"/>
          <w:sz w:val="24"/>
          <w:szCs w:val="24"/>
          <w:highlight w:val="none"/>
        </w:rPr>
      </w:pPr>
      <w:r>
        <w:rPr>
          <w:rFonts w:hint="eastAsia" w:hAnsi="宋体" w:cs="宋体"/>
          <w:b/>
          <w:bCs/>
          <w:color w:val="auto"/>
          <w:sz w:val="24"/>
          <w:szCs w:val="24"/>
          <w:highlight w:val="none"/>
        </w:rPr>
        <w:t>一、项目基本情况</w:t>
      </w:r>
      <w:bookmarkEnd w:id="2"/>
      <w:bookmarkEnd w:id="3"/>
      <w:bookmarkEnd w:id="4"/>
      <w:bookmarkEnd w:id="5"/>
    </w:p>
    <w:p w14:paraId="2CE4CB11">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hAnsi="宋体" w:eastAsia="宋体" w:cs="宋体"/>
          <w:color w:val="auto"/>
          <w:sz w:val="24"/>
          <w:szCs w:val="24"/>
          <w:highlight w:val="none"/>
          <w:lang w:eastAsia="zh-CN"/>
        </w:rPr>
      </w:pPr>
      <w:r>
        <w:rPr>
          <w:rFonts w:hint="eastAsia" w:hAnsi="宋体" w:cs="宋体"/>
          <w:color w:val="auto"/>
          <w:sz w:val="24"/>
          <w:szCs w:val="24"/>
          <w:highlight w:val="none"/>
        </w:rPr>
        <w:t>1.项目编号：采购计划-[2026]-00106号-BX20260929</w:t>
      </w:r>
    </w:p>
    <w:p w14:paraId="5C46BA6B">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hAnsi="宋体" w:eastAsia="宋体" w:cs="宋体"/>
          <w:color w:val="auto"/>
          <w:sz w:val="24"/>
          <w:szCs w:val="24"/>
          <w:highlight w:val="none"/>
          <w:lang w:eastAsia="zh-CN"/>
        </w:rPr>
      </w:pPr>
      <w:bookmarkStart w:id="6" w:name="_Toc28359003"/>
      <w:bookmarkStart w:id="7" w:name="_Toc28359080"/>
      <w:bookmarkStart w:id="8" w:name="_Toc35393622"/>
      <w:bookmarkStart w:id="9" w:name="_Toc35393791"/>
      <w:r>
        <w:rPr>
          <w:rFonts w:hint="eastAsia" w:hAnsi="宋体" w:cs="宋体"/>
          <w:color w:val="auto"/>
          <w:sz w:val="24"/>
          <w:szCs w:val="24"/>
          <w:highlight w:val="none"/>
          <w:lang w:val="en-US" w:eastAsia="zh-CN"/>
        </w:rPr>
        <w:t>2</w:t>
      </w:r>
      <w:r>
        <w:rPr>
          <w:rFonts w:hint="eastAsia" w:hAnsi="宋体" w:cs="宋体"/>
          <w:color w:val="auto"/>
          <w:sz w:val="24"/>
          <w:szCs w:val="24"/>
          <w:highlight w:val="none"/>
        </w:rPr>
        <w:t>.项目名称：</w:t>
      </w:r>
      <w:r>
        <w:rPr>
          <w:rFonts w:hint="eastAsia" w:hAnsi="宋体" w:cs="宋体"/>
          <w:color w:val="auto"/>
          <w:sz w:val="24"/>
          <w:szCs w:val="24"/>
          <w:highlight w:val="none"/>
          <w:lang w:eastAsia="zh-CN"/>
        </w:rPr>
        <w:t>2026年冬季扶余市乡镇卫生院取暖燃料生物质颗粒采购项目</w:t>
      </w:r>
    </w:p>
    <w:p w14:paraId="7345C4A9">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hAnsi="宋体" w:cs="宋体"/>
          <w:color w:val="auto"/>
          <w:sz w:val="24"/>
          <w:szCs w:val="24"/>
          <w:highlight w:val="none"/>
        </w:rPr>
      </w:pPr>
      <w:r>
        <w:rPr>
          <w:rFonts w:hint="eastAsia" w:hAnsi="宋体" w:cs="宋体"/>
          <w:color w:val="auto"/>
          <w:sz w:val="24"/>
          <w:szCs w:val="24"/>
          <w:highlight w:val="none"/>
          <w:lang w:val="en-US" w:eastAsia="zh-CN"/>
        </w:rPr>
        <w:t>3</w:t>
      </w:r>
      <w:r>
        <w:rPr>
          <w:rFonts w:hint="eastAsia" w:hAnsi="宋体" w:cs="宋体"/>
          <w:color w:val="auto"/>
          <w:sz w:val="24"/>
          <w:szCs w:val="24"/>
          <w:highlight w:val="none"/>
        </w:rPr>
        <w:t>.采购方式：公开招标</w:t>
      </w:r>
    </w:p>
    <w:p w14:paraId="2B00049D">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default" w:hAnsi="宋体" w:eastAsia="宋体" w:cs="宋体"/>
          <w:color w:val="auto"/>
          <w:sz w:val="24"/>
          <w:szCs w:val="24"/>
          <w:highlight w:val="none"/>
          <w:lang w:val="en-US" w:eastAsia="zh-CN"/>
        </w:rPr>
      </w:pPr>
      <w:r>
        <w:rPr>
          <w:rFonts w:hint="eastAsia" w:hAnsi="宋体" w:cs="宋体"/>
          <w:color w:val="auto"/>
          <w:sz w:val="24"/>
          <w:szCs w:val="24"/>
          <w:highlight w:val="none"/>
          <w:lang w:val="en-US" w:eastAsia="zh-CN"/>
        </w:rPr>
        <w:t>4</w:t>
      </w:r>
      <w:r>
        <w:rPr>
          <w:rFonts w:hint="eastAsia" w:hAnsi="宋体" w:cs="宋体"/>
          <w:color w:val="auto"/>
          <w:sz w:val="24"/>
          <w:szCs w:val="24"/>
          <w:highlight w:val="none"/>
        </w:rPr>
        <w:t>.预算金额：</w:t>
      </w:r>
      <w:r>
        <w:rPr>
          <w:rFonts w:hint="eastAsia" w:hAnsi="宋体" w:cs="宋体"/>
          <w:color w:val="auto"/>
          <w:sz w:val="24"/>
          <w:szCs w:val="24"/>
          <w:highlight w:val="none"/>
          <w:lang w:val="en-US" w:eastAsia="zh-CN"/>
        </w:rPr>
        <w:t>2119837.5</w:t>
      </w:r>
      <w:r>
        <w:rPr>
          <w:rFonts w:hint="eastAsia" w:hAnsi="宋体" w:cs="宋体"/>
          <w:color w:val="auto"/>
          <w:sz w:val="24"/>
          <w:szCs w:val="24"/>
          <w:highlight w:val="none"/>
        </w:rPr>
        <w:t>元</w:t>
      </w:r>
    </w:p>
    <w:p w14:paraId="788CB5E5">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default" w:hAnsi="宋体" w:eastAsia="宋体" w:cs="宋体"/>
          <w:color w:val="auto"/>
          <w:sz w:val="24"/>
          <w:szCs w:val="24"/>
          <w:highlight w:val="none"/>
          <w:lang w:val="en-US" w:eastAsia="zh-CN"/>
        </w:rPr>
      </w:pPr>
      <w:r>
        <w:rPr>
          <w:rFonts w:hint="eastAsia" w:hAnsi="宋体" w:cs="宋体"/>
          <w:color w:val="auto"/>
          <w:sz w:val="24"/>
          <w:szCs w:val="24"/>
          <w:highlight w:val="none"/>
          <w:lang w:val="en-US" w:eastAsia="zh-CN"/>
        </w:rPr>
        <w:t>5</w:t>
      </w:r>
      <w:r>
        <w:rPr>
          <w:rFonts w:hint="eastAsia" w:hAnsi="宋体" w:cs="宋体"/>
          <w:color w:val="auto"/>
          <w:sz w:val="24"/>
          <w:szCs w:val="24"/>
          <w:highlight w:val="none"/>
        </w:rPr>
        <w:t>.最高限价：</w:t>
      </w:r>
      <w:r>
        <w:rPr>
          <w:rFonts w:hint="eastAsia" w:hAnsi="宋体" w:cs="宋体"/>
          <w:color w:val="auto"/>
          <w:sz w:val="24"/>
          <w:szCs w:val="24"/>
          <w:highlight w:val="none"/>
          <w:lang w:val="en-US" w:eastAsia="zh-CN"/>
        </w:rPr>
        <w:t>1350元/吨</w:t>
      </w:r>
    </w:p>
    <w:p w14:paraId="661F1761">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Ansi="宋体" w:cs="宋体"/>
          <w:color w:val="auto"/>
          <w:sz w:val="24"/>
          <w:szCs w:val="24"/>
          <w:highlight w:val="none"/>
        </w:rPr>
      </w:pPr>
      <w:r>
        <w:rPr>
          <w:rFonts w:hint="eastAsia" w:hAnsi="宋体" w:cs="宋体"/>
          <w:color w:val="auto"/>
          <w:sz w:val="24"/>
          <w:szCs w:val="24"/>
          <w:highlight w:val="none"/>
          <w:lang w:val="en-US" w:eastAsia="zh-CN"/>
        </w:rPr>
        <w:t>6</w:t>
      </w:r>
      <w:r>
        <w:rPr>
          <w:rFonts w:hint="eastAsia" w:hAnsi="宋体" w:cs="宋体"/>
          <w:color w:val="auto"/>
          <w:sz w:val="24"/>
          <w:szCs w:val="24"/>
          <w:highlight w:val="none"/>
        </w:rPr>
        <w:t>.采购内容：</w:t>
      </w:r>
      <w:r>
        <w:rPr>
          <w:rFonts w:hint="eastAsia" w:hAnsi="宋体" w:cs="宋体"/>
          <w:color w:val="auto"/>
          <w:sz w:val="24"/>
          <w:szCs w:val="24"/>
          <w:highlight w:val="none"/>
          <w:lang w:val="en-US" w:eastAsia="zh-CN"/>
        </w:rPr>
        <w:t>具体内容详见招标文件第五章采购需求</w:t>
      </w:r>
      <w:r>
        <w:rPr>
          <w:rFonts w:hAnsi="宋体" w:cs="宋体"/>
          <w:color w:val="auto"/>
          <w:sz w:val="24"/>
          <w:szCs w:val="24"/>
          <w:highlight w:val="none"/>
        </w:rPr>
        <w:t>。</w:t>
      </w:r>
    </w:p>
    <w:p w14:paraId="2FB05F9A">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ascii="宋体" w:hAnsi="宋体" w:eastAsia="宋体" w:cs="宋体"/>
          <w:color w:val="auto"/>
          <w:sz w:val="24"/>
          <w:szCs w:val="24"/>
          <w:highlight w:val="none"/>
          <w:lang w:val="en-US" w:eastAsia="zh-CN"/>
        </w:rPr>
      </w:pPr>
      <w:r>
        <w:rPr>
          <w:rFonts w:hint="eastAsia" w:hAnsi="宋体" w:cs="宋体"/>
          <w:color w:val="auto"/>
          <w:sz w:val="24"/>
          <w:szCs w:val="24"/>
          <w:highlight w:val="none"/>
          <w:lang w:val="en-US" w:eastAsia="zh-CN"/>
        </w:rPr>
        <w:t>7</w:t>
      </w:r>
      <w:r>
        <w:rPr>
          <w:rFonts w:hint="eastAsia" w:hAnsi="宋体" w:cs="宋体"/>
          <w:color w:val="auto"/>
          <w:sz w:val="24"/>
          <w:szCs w:val="24"/>
          <w:highlight w:val="none"/>
        </w:rPr>
        <w:t>.合同履行期限</w:t>
      </w:r>
      <w:r>
        <w:rPr>
          <w:rFonts w:hint="eastAsia" w:ascii="宋体" w:hAnsi="宋体" w:eastAsia="宋体" w:cs="宋体"/>
          <w:color w:val="auto"/>
          <w:sz w:val="24"/>
          <w:szCs w:val="24"/>
          <w:highlight w:val="none"/>
          <w:lang w:val="en-US" w:eastAsia="zh-CN"/>
        </w:rPr>
        <w:t>（供货期）</w:t>
      </w:r>
      <w:r>
        <w:rPr>
          <w:rFonts w:hint="eastAsia" w:ascii="宋体" w:hAnsi="宋体" w:eastAsia="宋体" w:cs="宋体"/>
          <w:color w:val="auto"/>
          <w:sz w:val="24"/>
          <w:szCs w:val="24"/>
          <w:highlight w:val="none"/>
        </w:rPr>
        <w:t>：</w:t>
      </w:r>
      <w:r>
        <w:rPr>
          <w:rFonts w:hint="eastAsia" w:hAnsi="宋体" w:cs="宋体"/>
          <w:color w:val="auto"/>
          <w:sz w:val="24"/>
          <w:szCs w:val="24"/>
          <w:highlight w:val="none"/>
          <w:lang w:val="en-US" w:eastAsia="zh-CN"/>
        </w:rPr>
        <w:t>签订合同后20天内完成，具体供货时间以合同约定为准</w:t>
      </w:r>
      <w:r>
        <w:rPr>
          <w:rFonts w:hint="eastAsia" w:ascii="宋体" w:hAnsi="宋体" w:eastAsia="宋体" w:cs="宋体"/>
          <w:color w:val="auto"/>
          <w:sz w:val="24"/>
          <w:szCs w:val="24"/>
          <w:highlight w:val="none"/>
          <w:lang w:val="en-US" w:eastAsia="zh-CN"/>
        </w:rPr>
        <w:t>。</w:t>
      </w:r>
    </w:p>
    <w:p w14:paraId="4E620A68">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8.交货地点：</w:t>
      </w:r>
      <w:r>
        <w:rPr>
          <w:rFonts w:hint="eastAsia" w:hAnsi="宋体" w:cs="宋体"/>
          <w:color w:val="auto"/>
          <w:sz w:val="24"/>
          <w:szCs w:val="24"/>
          <w:highlight w:val="none"/>
          <w:lang w:val="en-US" w:eastAsia="zh-CN"/>
        </w:rPr>
        <w:t>扶余市辖区内各乡镇卫生院</w:t>
      </w:r>
      <w:r>
        <w:rPr>
          <w:rFonts w:hint="eastAsia" w:ascii="宋体" w:hAnsi="宋体" w:eastAsia="宋体" w:cs="宋体"/>
          <w:color w:val="auto"/>
          <w:sz w:val="24"/>
          <w:szCs w:val="24"/>
          <w:highlight w:val="none"/>
          <w:lang w:val="en-US" w:eastAsia="zh-CN"/>
        </w:rPr>
        <w:t>。</w:t>
      </w:r>
    </w:p>
    <w:p w14:paraId="3B0D045B">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.质量要求：</w:t>
      </w:r>
      <w:r>
        <w:rPr>
          <w:rFonts w:hint="eastAsia" w:hAnsi="宋体" w:cs="宋体"/>
          <w:color w:val="auto"/>
          <w:sz w:val="24"/>
          <w:szCs w:val="24"/>
          <w:highlight w:val="none"/>
          <w:lang w:eastAsia="zh-CN"/>
        </w:rPr>
        <w:t>符合国家现行相关产品质量标准要求，产品质量合格</w:t>
      </w:r>
      <w:r>
        <w:rPr>
          <w:rFonts w:hint="eastAsia" w:ascii="宋体" w:hAnsi="宋体" w:eastAsia="宋体" w:cs="宋体"/>
          <w:color w:val="auto"/>
          <w:sz w:val="24"/>
          <w:szCs w:val="24"/>
          <w:highlight w:val="none"/>
        </w:rPr>
        <w:t>。</w:t>
      </w:r>
    </w:p>
    <w:p w14:paraId="0B08DBFD">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hAnsi="宋体" w:cs="宋体"/>
          <w:color w:val="auto"/>
          <w:sz w:val="24"/>
          <w:szCs w:val="24"/>
          <w:highlight w:val="none"/>
        </w:rPr>
      </w:pPr>
      <w:r>
        <w:rPr>
          <w:rFonts w:hint="eastAsia" w:hAnsi="宋体" w:cs="宋体"/>
          <w:color w:val="auto"/>
          <w:sz w:val="24"/>
          <w:szCs w:val="24"/>
          <w:highlight w:val="none"/>
          <w:lang w:val="en-US" w:eastAsia="zh-CN"/>
        </w:rPr>
        <w:t>10</w:t>
      </w:r>
      <w:r>
        <w:rPr>
          <w:rFonts w:hint="eastAsia" w:hAnsi="宋体" w:cs="宋体"/>
          <w:color w:val="auto"/>
          <w:sz w:val="24"/>
          <w:szCs w:val="24"/>
          <w:highlight w:val="none"/>
        </w:rPr>
        <w:t>.本项目不接受联合体投标。</w:t>
      </w:r>
    </w:p>
    <w:p w14:paraId="751185FC">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hAnsi="宋体" w:cs="宋体"/>
          <w:color w:val="auto"/>
          <w:sz w:val="24"/>
          <w:szCs w:val="24"/>
          <w:highlight w:val="none"/>
        </w:rPr>
      </w:pPr>
      <w:r>
        <w:rPr>
          <w:rFonts w:hint="eastAsia" w:hAnsi="宋体" w:cs="宋体"/>
          <w:b/>
          <w:bCs/>
          <w:color w:val="auto"/>
          <w:sz w:val="24"/>
          <w:szCs w:val="24"/>
          <w:highlight w:val="none"/>
        </w:rPr>
        <w:t>二</w:t>
      </w:r>
      <w:r>
        <w:rPr>
          <w:rFonts w:hint="eastAsia" w:hAnsi="宋体" w:cs="宋体"/>
          <w:b/>
          <w:bCs/>
          <w:color w:val="auto"/>
          <w:sz w:val="24"/>
          <w:szCs w:val="24"/>
          <w:highlight w:val="none"/>
          <w:lang w:eastAsia="zh-CN"/>
        </w:rPr>
        <w:t>、</w:t>
      </w:r>
      <w:r>
        <w:rPr>
          <w:rFonts w:hint="eastAsia" w:hAnsi="宋体" w:cs="宋体"/>
          <w:b/>
          <w:bCs/>
          <w:color w:val="auto"/>
          <w:sz w:val="24"/>
          <w:szCs w:val="24"/>
          <w:highlight w:val="none"/>
        </w:rPr>
        <w:t>申请人的资格要求</w:t>
      </w:r>
      <w:bookmarkEnd w:id="6"/>
      <w:bookmarkEnd w:id="7"/>
      <w:bookmarkEnd w:id="8"/>
      <w:bookmarkEnd w:id="9"/>
    </w:p>
    <w:p w14:paraId="5590B40F">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hAnsi="宋体" w:cs="宋体"/>
          <w:bCs/>
          <w:color w:val="auto"/>
          <w:sz w:val="24"/>
          <w:szCs w:val="24"/>
          <w:highlight w:val="none"/>
          <w:lang w:val="zh-CN"/>
        </w:rPr>
      </w:pPr>
      <w:r>
        <w:rPr>
          <w:rFonts w:hint="eastAsia" w:hAnsi="宋体" w:cs="宋体"/>
          <w:bCs/>
          <w:color w:val="auto"/>
          <w:sz w:val="24"/>
          <w:szCs w:val="24"/>
          <w:highlight w:val="none"/>
          <w:lang w:val="zh-CN"/>
        </w:rPr>
        <w:t>1.满足《中华人民共和国政府采购法》第二十二条和《中华人民共和国政府采购法实施条例》第十七条的规定；</w:t>
      </w:r>
    </w:p>
    <w:p w14:paraId="652543F6">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Ansi="宋体" w:cs="宋体"/>
          <w:bCs/>
          <w:color w:val="auto"/>
          <w:sz w:val="24"/>
          <w:szCs w:val="24"/>
          <w:highlight w:val="none"/>
        </w:rPr>
      </w:pPr>
      <w:r>
        <w:rPr>
          <w:rFonts w:hint="eastAsia" w:hAnsi="宋体" w:cs="宋体"/>
          <w:bCs/>
          <w:color w:val="auto"/>
          <w:sz w:val="24"/>
          <w:szCs w:val="24"/>
          <w:highlight w:val="none"/>
          <w:lang w:val="zh-CN"/>
        </w:rPr>
        <w:t>2.落实政府采购政策需满足的资格要求：本项目专门面向中小企业采购（</w:t>
      </w:r>
      <w:r>
        <w:rPr>
          <w:rFonts w:hint="eastAsia" w:hAnsi="宋体" w:cs="宋体"/>
          <w:bCs/>
          <w:color w:val="auto"/>
          <w:sz w:val="24"/>
          <w:szCs w:val="24"/>
          <w:highlight w:val="none"/>
          <w:lang w:val="en-US" w:eastAsia="zh-CN"/>
        </w:rPr>
        <w:t>本项目所属行业为：工业）</w:t>
      </w:r>
      <w:r>
        <w:rPr>
          <w:rFonts w:hAnsi="宋体" w:cs="宋体"/>
          <w:bCs/>
          <w:color w:val="auto"/>
          <w:sz w:val="24"/>
          <w:szCs w:val="24"/>
          <w:highlight w:val="none"/>
        </w:rPr>
        <w:t>。</w:t>
      </w:r>
    </w:p>
    <w:p w14:paraId="72EDD6CF">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hAnsi="宋体" w:cs="宋体"/>
          <w:bCs/>
          <w:color w:val="auto"/>
          <w:sz w:val="24"/>
          <w:szCs w:val="24"/>
          <w:highlight w:val="none"/>
          <w:lang w:val="zh-CN"/>
        </w:rPr>
      </w:pPr>
      <w:r>
        <w:rPr>
          <w:rFonts w:hint="eastAsia"/>
          <w:bCs/>
          <w:color w:val="auto"/>
          <w:sz w:val="24"/>
          <w:szCs w:val="24"/>
          <w:highlight w:val="none"/>
        </w:rPr>
        <w:t>2.1</w:t>
      </w:r>
      <w:r>
        <w:rPr>
          <w:rFonts w:hint="eastAsia" w:hAnsi="宋体" w:cs="宋体"/>
          <w:bCs/>
          <w:color w:val="auto"/>
          <w:sz w:val="24"/>
          <w:szCs w:val="24"/>
          <w:highlight w:val="none"/>
          <w:lang w:val="zh-CN"/>
        </w:rPr>
        <w:t>《政府采购促进中小企业发展管理办法》（财库[2020]46号）；</w:t>
      </w:r>
    </w:p>
    <w:p w14:paraId="6BD8CF31">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hAnsi="宋体" w:cs="宋体"/>
          <w:bCs/>
          <w:color w:val="auto"/>
          <w:sz w:val="24"/>
          <w:szCs w:val="24"/>
          <w:highlight w:val="none"/>
          <w:lang w:val="zh-CN"/>
        </w:rPr>
      </w:pPr>
      <w:r>
        <w:rPr>
          <w:rFonts w:hint="eastAsia"/>
          <w:bCs/>
          <w:color w:val="auto"/>
          <w:sz w:val="24"/>
          <w:szCs w:val="24"/>
          <w:highlight w:val="none"/>
        </w:rPr>
        <w:t>2.2</w:t>
      </w:r>
      <w:r>
        <w:rPr>
          <w:rFonts w:hint="eastAsia" w:hAnsi="宋体" w:cs="宋体"/>
          <w:bCs/>
          <w:color w:val="auto"/>
          <w:sz w:val="24"/>
          <w:szCs w:val="24"/>
          <w:highlight w:val="none"/>
          <w:lang w:val="zh-CN"/>
        </w:rPr>
        <w:t>《财政部司法部关于政府采购支持监狱企业发展有关问题的通知》（财库[2014]68号）；</w:t>
      </w:r>
    </w:p>
    <w:p w14:paraId="71328984">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hAnsi="宋体" w:cs="宋体"/>
          <w:bCs/>
          <w:color w:val="auto"/>
          <w:sz w:val="24"/>
          <w:szCs w:val="24"/>
          <w:highlight w:val="none"/>
          <w:lang w:val="zh-CN"/>
        </w:rPr>
      </w:pPr>
      <w:r>
        <w:rPr>
          <w:rFonts w:hint="eastAsia"/>
          <w:bCs/>
          <w:color w:val="auto"/>
          <w:sz w:val="24"/>
          <w:szCs w:val="24"/>
          <w:highlight w:val="none"/>
        </w:rPr>
        <w:t>2.3</w:t>
      </w:r>
      <w:r>
        <w:rPr>
          <w:rFonts w:hint="eastAsia" w:hAnsi="宋体" w:cs="宋体"/>
          <w:bCs/>
          <w:color w:val="auto"/>
          <w:sz w:val="24"/>
          <w:szCs w:val="24"/>
          <w:highlight w:val="none"/>
          <w:lang w:val="zh-CN"/>
        </w:rPr>
        <w:t>《关于促进残疾人就业政府采购政策的通知》（财库〔2017〕141号）；</w:t>
      </w:r>
    </w:p>
    <w:p w14:paraId="596459CB">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hAnsi="宋体" w:cs="宋体"/>
          <w:bCs/>
          <w:color w:val="auto"/>
          <w:sz w:val="24"/>
          <w:szCs w:val="24"/>
          <w:highlight w:val="none"/>
          <w:lang w:val="zh-CN"/>
        </w:rPr>
      </w:pPr>
      <w:r>
        <w:rPr>
          <w:rFonts w:hint="eastAsia"/>
          <w:bCs/>
          <w:color w:val="auto"/>
          <w:sz w:val="24"/>
          <w:szCs w:val="24"/>
          <w:highlight w:val="none"/>
        </w:rPr>
        <w:t>2.4</w:t>
      </w:r>
      <w:r>
        <w:rPr>
          <w:rFonts w:hint="eastAsia" w:hAnsi="宋体" w:cs="宋体"/>
          <w:bCs/>
          <w:color w:val="auto"/>
          <w:sz w:val="24"/>
          <w:szCs w:val="24"/>
          <w:highlight w:val="none"/>
          <w:lang w:val="zh-CN"/>
        </w:rPr>
        <w:t>《国务院办公厅关于建立政府强制采购节能产品制度的通知》（国办发[2007]51号）；</w:t>
      </w:r>
    </w:p>
    <w:p w14:paraId="3B1C2025">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hAnsi="宋体" w:cs="宋体"/>
          <w:bCs/>
          <w:color w:val="auto"/>
          <w:sz w:val="24"/>
          <w:szCs w:val="24"/>
          <w:highlight w:val="none"/>
          <w:lang w:val="zh-CN"/>
        </w:rPr>
      </w:pPr>
      <w:r>
        <w:rPr>
          <w:rFonts w:hint="eastAsia"/>
          <w:bCs/>
          <w:color w:val="auto"/>
          <w:sz w:val="24"/>
          <w:szCs w:val="24"/>
          <w:highlight w:val="none"/>
        </w:rPr>
        <w:t>2.5</w:t>
      </w:r>
      <w:r>
        <w:rPr>
          <w:rFonts w:hint="eastAsia" w:hAnsi="宋体" w:cs="宋体"/>
          <w:bCs/>
          <w:color w:val="auto"/>
          <w:sz w:val="24"/>
          <w:szCs w:val="24"/>
          <w:highlight w:val="none"/>
          <w:lang w:val="zh-CN"/>
        </w:rPr>
        <w:t>《环境标志产品政府采购实施意见》（财库[2006]90号）；</w:t>
      </w:r>
    </w:p>
    <w:p w14:paraId="768DB2E1">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hAnsi="宋体" w:cs="宋体"/>
          <w:bCs/>
          <w:color w:val="auto"/>
          <w:sz w:val="24"/>
          <w:szCs w:val="24"/>
          <w:highlight w:val="none"/>
          <w:lang w:val="zh-CN"/>
        </w:rPr>
      </w:pPr>
      <w:r>
        <w:rPr>
          <w:rFonts w:hint="eastAsia"/>
          <w:bCs/>
          <w:color w:val="auto"/>
          <w:sz w:val="24"/>
          <w:szCs w:val="24"/>
          <w:highlight w:val="none"/>
        </w:rPr>
        <w:t>2.6</w:t>
      </w:r>
      <w:r>
        <w:rPr>
          <w:rFonts w:hint="eastAsia" w:hAnsi="宋体" w:cs="宋体"/>
          <w:bCs/>
          <w:color w:val="auto"/>
          <w:sz w:val="24"/>
          <w:szCs w:val="24"/>
          <w:highlight w:val="none"/>
          <w:lang w:val="zh-CN"/>
        </w:rPr>
        <w:t>《关于进一步加大政府采购支持中小企业力度的通知》财库〔2022〕19号文件等国家最新政策。</w:t>
      </w:r>
    </w:p>
    <w:p w14:paraId="098BA6FA">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hAnsi="宋体" w:cs="宋体"/>
          <w:bCs/>
          <w:color w:val="auto"/>
          <w:sz w:val="24"/>
          <w:szCs w:val="24"/>
          <w:highlight w:val="none"/>
          <w:lang w:val="zh-CN"/>
        </w:rPr>
      </w:pPr>
      <w:r>
        <w:rPr>
          <w:rFonts w:hint="eastAsia" w:hAnsi="宋体" w:cs="宋体"/>
          <w:bCs/>
          <w:color w:val="auto"/>
          <w:sz w:val="24"/>
          <w:szCs w:val="24"/>
          <w:highlight w:val="none"/>
          <w:lang w:val="zh-CN"/>
        </w:rPr>
        <w:t>3.本项目的特定资格要求：</w:t>
      </w:r>
    </w:p>
    <w:p w14:paraId="5BEFE517">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hAnsi="宋体" w:cs="宋体"/>
          <w:bCs/>
          <w:color w:val="auto"/>
          <w:sz w:val="24"/>
          <w:szCs w:val="24"/>
          <w:highlight w:val="none"/>
          <w:lang w:val="zh-CN"/>
        </w:rPr>
      </w:pPr>
      <w:r>
        <w:rPr>
          <w:rFonts w:hint="eastAsia"/>
          <w:bCs/>
          <w:color w:val="auto"/>
          <w:sz w:val="24"/>
          <w:szCs w:val="24"/>
          <w:highlight w:val="none"/>
        </w:rPr>
        <w:t>3.1</w:t>
      </w:r>
      <w:r>
        <w:rPr>
          <w:rFonts w:hint="eastAsia" w:hAnsi="宋体" w:cs="宋体"/>
          <w:bCs/>
          <w:color w:val="auto"/>
          <w:sz w:val="24"/>
          <w:szCs w:val="24"/>
          <w:highlight w:val="none"/>
          <w:lang w:val="zh-CN"/>
        </w:rPr>
        <w:t>投标人须是在中国境内注册具有独立承担民事责任能力的法人或其他组织形式，具备有效的营业执照，具有履行合同所必需的设备和专业技术能力。</w:t>
      </w:r>
    </w:p>
    <w:p w14:paraId="795CDB89">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hAnsi="宋体" w:cs="宋体"/>
          <w:bCs/>
          <w:color w:val="auto"/>
          <w:sz w:val="24"/>
          <w:szCs w:val="24"/>
          <w:highlight w:val="none"/>
          <w:lang w:val="zh-CN"/>
        </w:rPr>
      </w:pPr>
      <w:r>
        <w:rPr>
          <w:rFonts w:hint="eastAsia"/>
          <w:bCs/>
          <w:color w:val="auto"/>
          <w:sz w:val="24"/>
          <w:szCs w:val="24"/>
          <w:highlight w:val="none"/>
        </w:rPr>
        <w:t>3.2</w:t>
      </w:r>
      <w:r>
        <w:rPr>
          <w:rFonts w:hint="eastAsia" w:hAnsi="宋体" w:cs="宋体"/>
          <w:bCs/>
          <w:color w:val="auto"/>
          <w:sz w:val="24"/>
          <w:szCs w:val="24"/>
          <w:highlight w:val="none"/>
          <w:lang w:val="zh-CN"/>
        </w:rPr>
        <w:t>投标人参加采购活动应当提交反映其财务状况、依法缴纳税收和社保保障资金情况的资格条件承诺函。</w:t>
      </w:r>
    </w:p>
    <w:p w14:paraId="6FA75916">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hAnsi="宋体" w:cs="宋体"/>
          <w:bCs/>
          <w:color w:val="auto"/>
          <w:sz w:val="24"/>
          <w:szCs w:val="24"/>
          <w:highlight w:val="none"/>
          <w:lang w:val="zh-CN"/>
        </w:rPr>
      </w:pPr>
      <w:r>
        <w:rPr>
          <w:rFonts w:hint="eastAsia"/>
          <w:bCs/>
          <w:color w:val="auto"/>
          <w:sz w:val="24"/>
          <w:szCs w:val="24"/>
          <w:highlight w:val="none"/>
        </w:rPr>
        <w:t>3.3</w:t>
      </w:r>
      <w:r>
        <w:rPr>
          <w:rFonts w:hint="eastAsia" w:hAnsi="宋体" w:cs="宋体"/>
          <w:bCs/>
          <w:color w:val="auto"/>
          <w:sz w:val="24"/>
          <w:szCs w:val="24"/>
          <w:highlight w:val="none"/>
          <w:lang w:val="zh-CN"/>
        </w:rPr>
        <w:t>不接受被政府列为取消投标资格期间内的企业或个人投标。</w:t>
      </w:r>
    </w:p>
    <w:p w14:paraId="48C0567B">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hAnsi="宋体" w:cs="宋体"/>
          <w:bCs/>
          <w:color w:val="auto"/>
          <w:sz w:val="24"/>
          <w:szCs w:val="24"/>
          <w:highlight w:val="none"/>
          <w:lang w:val="zh-CN"/>
        </w:rPr>
      </w:pPr>
      <w:r>
        <w:rPr>
          <w:rFonts w:hint="eastAsia"/>
          <w:bCs/>
          <w:color w:val="auto"/>
          <w:sz w:val="24"/>
          <w:szCs w:val="24"/>
          <w:highlight w:val="none"/>
        </w:rPr>
        <w:t>3.4</w:t>
      </w:r>
      <w:r>
        <w:rPr>
          <w:rFonts w:hint="eastAsia" w:hAnsi="宋体" w:cs="宋体"/>
          <w:bCs/>
          <w:color w:val="auto"/>
          <w:sz w:val="24"/>
          <w:szCs w:val="24"/>
          <w:highlight w:val="none"/>
          <w:lang w:val="zh-CN"/>
        </w:rPr>
        <w:t>投标人不得为“信用中国”网站（www.creditchina.gov.cn）中列入失信被执行人和重大税收违法失信主体名单</w:t>
      </w:r>
      <w:r>
        <w:rPr>
          <w:rFonts w:hint="eastAsia" w:hAnsi="宋体" w:cs="宋体"/>
          <w:bCs/>
          <w:color w:val="auto"/>
          <w:sz w:val="24"/>
          <w:szCs w:val="24"/>
          <w:highlight w:val="none"/>
          <w:lang w:val="en-US" w:eastAsia="zh-CN"/>
        </w:rPr>
        <w:t>的</w:t>
      </w:r>
      <w:r>
        <w:rPr>
          <w:rFonts w:hint="eastAsia" w:hAnsi="宋体" w:cs="宋体"/>
          <w:bCs/>
          <w:color w:val="auto"/>
          <w:sz w:val="24"/>
          <w:szCs w:val="24"/>
          <w:highlight w:val="none"/>
          <w:lang w:val="zh-CN"/>
        </w:rPr>
        <w:t>投标人，不得为中国政府采购网（www.ccgp.gov.cn）政府采购严重违法失信行为记录名单中被财政部门禁止参加政府采购活动的投标人（处罚决定规定的时间和地域范围内）。</w:t>
      </w:r>
    </w:p>
    <w:p w14:paraId="52722514">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hAnsi="宋体" w:cs="宋体"/>
          <w:bCs/>
          <w:color w:val="auto"/>
          <w:sz w:val="24"/>
          <w:szCs w:val="24"/>
          <w:highlight w:val="none"/>
          <w:lang w:val="zh-CN"/>
        </w:rPr>
      </w:pPr>
      <w:r>
        <w:rPr>
          <w:rFonts w:hint="eastAsia"/>
          <w:bCs/>
          <w:color w:val="auto"/>
          <w:sz w:val="24"/>
          <w:szCs w:val="24"/>
          <w:highlight w:val="none"/>
        </w:rPr>
        <w:t>3.5</w:t>
      </w:r>
      <w:r>
        <w:rPr>
          <w:rFonts w:hint="eastAsia" w:hAnsi="宋体" w:cs="宋体"/>
          <w:bCs/>
          <w:color w:val="auto"/>
          <w:sz w:val="24"/>
          <w:szCs w:val="24"/>
          <w:highlight w:val="none"/>
          <w:lang w:val="zh-CN"/>
        </w:rPr>
        <w:t>与采购人存在利害关系可能影响招标公正性的法人、其他组织或者个人，不得参加投标。</w:t>
      </w:r>
    </w:p>
    <w:p w14:paraId="275322B3">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hAnsi="宋体" w:cs="宋体"/>
          <w:bCs/>
          <w:color w:val="auto"/>
          <w:sz w:val="24"/>
          <w:szCs w:val="24"/>
          <w:highlight w:val="none"/>
          <w:lang w:val="zh-CN"/>
        </w:rPr>
      </w:pPr>
      <w:r>
        <w:rPr>
          <w:rFonts w:hint="eastAsia"/>
          <w:bCs/>
          <w:color w:val="auto"/>
          <w:sz w:val="24"/>
          <w:szCs w:val="24"/>
          <w:highlight w:val="none"/>
        </w:rPr>
        <w:t>3.6</w:t>
      </w:r>
      <w:r>
        <w:rPr>
          <w:rFonts w:hint="eastAsia" w:hAnsi="宋体" w:cs="宋体"/>
          <w:bCs/>
          <w:color w:val="auto"/>
          <w:sz w:val="24"/>
          <w:szCs w:val="24"/>
          <w:highlight w:val="none"/>
          <w:lang w:val="zh-CN"/>
        </w:rPr>
        <w:t>单位负责人为同一人或存在直接控股、管理关系的不同投标人，不得参加同一合同项下的政府采购活动。</w:t>
      </w:r>
    </w:p>
    <w:p w14:paraId="3EE23BA3">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hAnsi="宋体" w:cs="宋体"/>
          <w:b/>
          <w:color w:val="auto"/>
          <w:sz w:val="24"/>
          <w:szCs w:val="24"/>
          <w:highlight w:val="none"/>
          <w:lang w:val="zh-CN"/>
        </w:rPr>
      </w:pPr>
      <w:r>
        <w:rPr>
          <w:rFonts w:hint="eastAsia"/>
          <w:b/>
          <w:color w:val="auto"/>
          <w:sz w:val="24"/>
          <w:szCs w:val="24"/>
          <w:highlight w:val="none"/>
          <w:lang w:val="zh-CN"/>
        </w:rPr>
        <w:t>三、获取招标文件</w:t>
      </w:r>
    </w:p>
    <w:p w14:paraId="2FE3E5F2">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hAnsi="宋体" w:cs="宋体"/>
          <w:color w:val="auto"/>
          <w:sz w:val="24"/>
          <w:szCs w:val="24"/>
          <w:highlight w:val="none"/>
        </w:rPr>
      </w:pPr>
      <w:bookmarkStart w:id="10" w:name="_Toc35393793"/>
      <w:bookmarkStart w:id="11" w:name="_Toc28359005"/>
      <w:bookmarkStart w:id="12" w:name="_Toc35393624"/>
      <w:bookmarkStart w:id="13" w:name="_Toc28359082"/>
      <w:r>
        <w:rPr>
          <w:rFonts w:hint="eastAsia" w:hAnsi="宋体" w:cs="宋体"/>
          <w:color w:val="auto"/>
          <w:sz w:val="24"/>
          <w:szCs w:val="24"/>
          <w:highlight w:val="none"/>
        </w:rPr>
        <w:t>1.时间：</w:t>
      </w:r>
      <w:r>
        <w:rPr>
          <w:rFonts w:hint="eastAsia" w:hAnsi="宋体" w:cs="宋体"/>
          <w:bCs/>
          <w:color w:val="auto"/>
          <w:sz w:val="24"/>
          <w:szCs w:val="24"/>
          <w:highlight w:val="none"/>
        </w:rPr>
        <w:t>自202</w:t>
      </w:r>
      <w:r>
        <w:rPr>
          <w:rFonts w:hint="eastAsia" w:hAnsi="宋体" w:cs="宋体"/>
          <w:bCs/>
          <w:color w:val="auto"/>
          <w:sz w:val="24"/>
          <w:szCs w:val="24"/>
          <w:highlight w:val="none"/>
          <w:lang w:val="en-US" w:eastAsia="zh-CN"/>
        </w:rPr>
        <w:t>6</w:t>
      </w:r>
      <w:r>
        <w:rPr>
          <w:rFonts w:hint="eastAsia" w:hAnsi="宋体" w:cs="宋体"/>
          <w:bCs/>
          <w:color w:val="auto"/>
          <w:sz w:val="24"/>
          <w:szCs w:val="24"/>
          <w:highlight w:val="none"/>
        </w:rPr>
        <w:t>年</w:t>
      </w:r>
      <w:r>
        <w:rPr>
          <w:rFonts w:hint="eastAsia" w:hAnsi="宋体" w:cs="宋体"/>
          <w:bCs/>
          <w:color w:val="auto"/>
          <w:sz w:val="24"/>
          <w:szCs w:val="24"/>
          <w:highlight w:val="none"/>
          <w:lang w:val="en-US" w:eastAsia="zh-CN"/>
        </w:rPr>
        <w:t>9</w:t>
      </w:r>
      <w:r>
        <w:rPr>
          <w:rFonts w:hint="eastAsia" w:hAnsi="宋体" w:cs="宋体"/>
          <w:bCs/>
          <w:color w:val="auto"/>
          <w:sz w:val="24"/>
          <w:szCs w:val="24"/>
          <w:highlight w:val="none"/>
        </w:rPr>
        <w:t>月</w:t>
      </w:r>
      <w:r>
        <w:rPr>
          <w:rFonts w:hint="eastAsia" w:hAnsi="宋体" w:cs="宋体"/>
          <w:bCs/>
          <w:color w:val="auto"/>
          <w:sz w:val="24"/>
          <w:szCs w:val="24"/>
          <w:highlight w:val="none"/>
          <w:lang w:val="en-US" w:eastAsia="zh-CN"/>
        </w:rPr>
        <w:t>30</w:t>
      </w:r>
      <w:r>
        <w:rPr>
          <w:rFonts w:hint="eastAsia" w:hAnsi="宋体" w:cs="宋体"/>
          <w:bCs/>
          <w:color w:val="auto"/>
          <w:sz w:val="24"/>
          <w:szCs w:val="24"/>
          <w:highlight w:val="none"/>
        </w:rPr>
        <w:t>日至202</w:t>
      </w:r>
      <w:r>
        <w:rPr>
          <w:rFonts w:hint="eastAsia" w:hAnsi="宋体" w:cs="宋体"/>
          <w:bCs/>
          <w:color w:val="auto"/>
          <w:sz w:val="24"/>
          <w:szCs w:val="24"/>
          <w:highlight w:val="none"/>
          <w:lang w:val="en-US" w:eastAsia="zh-CN"/>
        </w:rPr>
        <w:t>6</w:t>
      </w:r>
      <w:r>
        <w:rPr>
          <w:rFonts w:hint="eastAsia" w:hAnsi="宋体" w:cs="宋体"/>
          <w:bCs/>
          <w:color w:val="auto"/>
          <w:sz w:val="24"/>
          <w:szCs w:val="24"/>
          <w:highlight w:val="none"/>
        </w:rPr>
        <w:t>年</w:t>
      </w:r>
      <w:r>
        <w:rPr>
          <w:rFonts w:hint="eastAsia" w:hAnsi="宋体" w:cs="宋体"/>
          <w:bCs/>
          <w:color w:val="auto"/>
          <w:sz w:val="24"/>
          <w:szCs w:val="24"/>
          <w:highlight w:val="none"/>
          <w:lang w:val="en-US" w:eastAsia="zh-CN"/>
        </w:rPr>
        <w:t>10月12日</w:t>
      </w:r>
      <w:r>
        <w:rPr>
          <w:rFonts w:hint="eastAsia" w:hAnsi="宋体" w:cs="宋体"/>
          <w:bCs/>
          <w:color w:val="auto"/>
          <w:sz w:val="24"/>
          <w:szCs w:val="24"/>
          <w:highlight w:val="none"/>
        </w:rPr>
        <w:t>，每天8:30至16:</w:t>
      </w:r>
      <w:r>
        <w:rPr>
          <w:rFonts w:hint="eastAsia" w:hAnsi="宋体" w:cs="宋体"/>
          <w:bCs/>
          <w:color w:val="auto"/>
          <w:sz w:val="24"/>
          <w:szCs w:val="24"/>
          <w:highlight w:val="none"/>
          <w:lang w:val="en-US" w:eastAsia="zh-CN"/>
        </w:rPr>
        <w:t>00</w:t>
      </w:r>
      <w:r>
        <w:rPr>
          <w:rFonts w:hint="eastAsia" w:hAnsi="宋体" w:cs="宋体"/>
          <w:bCs/>
          <w:color w:val="auto"/>
          <w:sz w:val="24"/>
          <w:szCs w:val="24"/>
          <w:highlight w:val="none"/>
        </w:rPr>
        <w:t>（北京时间，法定节假日除外）。</w:t>
      </w:r>
    </w:p>
    <w:p w14:paraId="4222F2A7">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color w:val="auto"/>
          <w:sz w:val="24"/>
          <w:szCs w:val="24"/>
          <w:highlight w:val="none"/>
        </w:rPr>
      </w:pPr>
      <w:r>
        <w:rPr>
          <w:rFonts w:hint="eastAsia"/>
          <w:bCs/>
          <w:color w:val="auto"/>
          <w:sz w:val="24"/>
          <w:szCs w:val="24"/>
          <w:highlight w:val="none"/>
        </w:rPr>
        <w:t>2.地点：</w:t>
      </w:r>
      <w:r>
        <w:rPr>
          <w:rFonts w:hint="eastAsia"/>
          <w:color w:val="auto"/>
          <w:sz w:val="24"/>
          <w:szCs w:val="24"/>
          <w:highlight w:val="none"/>
        </w:rPr>
        <w:t>“政采云”平台（http：//www.zcygov.cn）。</w:t>
      </w:r>
    </w:p>
    <w:p w14:paraId="04310CBE">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hAnsi="宋体" w:cs="宋体"/>
          <w:color w:val="auto"/>
          <w:sz w:val="24"/>
          <w:szCs w:val="24"/>
          <w:highlight w:val="none"/>
        </w:rPr>
      </w:pPr>
      <w:r>
        <w:rPr>
          <w:rFonts w:hint="eastAsia"/>
          <w:color w:val="auto"/>
          <w:sz w:val="24"/>
          <w:szCs w:val="24"/>
          <w:highlight w:val="none"/>
        </w:rPr>
        <w:t>3.方式：</w:t>
      </w:r>
      <w:r>
        <w:rPr>
          <w:rFonts w:hint="eastAsia"/>
          <w:color w:val="auto"/>
          <w:sz w:val="24"/>
          <w:szCs w:val="24"/>
          <w:highlight w:val="none"/>
          <w:lang w:eastAsia="zh-CN"/>
        </w:rPr>
        <w:t>投标人</w:t>
      </w:r>
      <w:r>
        <w:rPr>
          <w:rFonts w:hint="eastAsia"/>
          <w:color w:val="auto"/>
          <w:sz w:val="24"/>
          <w:szCs w:val="24"/>
          <w:highlight w:val="none"/>
        </w:rPr>
        <w:t>可自行在“政采云”平台（http：//www.zcygov.cn）下载采购文件（操作路径：登录“政采云”平台-项目采购-获取采购文件-找到本项目-点击“申请获取采购文件”），电子投标文件制作需要基于“政采云”平台获取的采购文件编制。</w:t>
      </w:r>
    </w:p>
    <w:p w14:paraId="0CA3D1AE">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hAnsi="宋体" w:cs="宋体"/>
          <w:color w:val="auto"/>
          <w:sz w:val="24"/>
          <w:szCs w:val="24"/>
          <w:highlight w:val="none"/>
        </w:rPr>
      </w:pPr>
      <w:r>
        <w:rPr>
          <w:rFonts w:hint="eastAsia"/>
          <w:bCs/>
          <w:color w:val="auto"/>
          <w:sz w:val="24"/>
          <w:szCs w:val="24"/>
          <w:highlight w:val="none"/>
        </w:rPr>
        <w:t>4.售价：0.00元</w:t>
      </w:r>
      <w:r>
        <w:rPr>
          <w:rFonts w:hint="eastAsia"/>
          <w:bCs/>
          <w:color w:val="auto"/>
          <w:sz w:val="24"/>
          <w:szCs w:val="24"/>
          <w:highlight w:val="none"/>
          <w:lang w:val="zh-CN"/>
        </w:rPr>
        <w:t>。</w:t>
      </w:r>
    </w:p>
    <w:bookmarkEnd w:id="10"/>
    <w:bookmarkEnd w:id="11"/>
    <w:bookmarkEnd w:id="12"/>
    <w:bookmarkEnd w:id="13"/>
    <w:p w14:paraId="21CCC373">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hAnsi="宋体" w:cs="宋体"/>
          <w:b/>
          <w:bCs/>
          <w:color w:val="auto"/>
          <w:sz w:val="24"/>
          <w:szCs w:val="24"/>
          <w:highlight w:val="none"/>
        </w:rPr>
      </w:pPr>
      <w:r>
        <w:rPr>
          <w:rFonts w:hint="eastAsia"/>
          <w:b/>
          <w:bCs/>
          <w:color w:val="auto"/>
          <w:sz w:val="24"/>
          <w:szCs w:val="24"/>
          <w:highlight w:val="none"/>
        </w:rPr>
        <w:t>四、提交投标文件截止时间、开标时间和地点</w:t>
      </w:r>
    </w:p>
    <w:p w14:paraId="4730B1FA">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hAnsi="宋体" w:cs="宋体"/>
          <w:bCs/>
          <w:color w:val="auto"/>
          <w:sz w:val="24"/>
          <w:szCs w:val="24"/>
          <w:highlight w:val="none"/>
          <w:lang w:val="zh-CN"/>
        </w:rPr>
      </w:pPr>
      <w:bookmarkStart w:id="14" w:name="_Toc28359007"/>
      <w:bookmarkStart w:id="15" w:name="_Toc35393794"/>
      <w:bookmarkStart w:id="16" w:name="_Toc28359084"/>
      <w:bookmarkStart w:id="17" w:name="_Toc35393625"/>
      <w:r>
        <w:rPr>
          <w:rFonts w:hint="eastAsia" w:hAnsi="宋体" w:cs="宋体"/>
          <w:bCs/>
          <w:color w:val="auto"/>
          <w:sz w:val="24"/>
          <w:szCs w:val="24"/>
          <w:highlight w:val="none"/>
          <w:lang w:val="zh-CN"/>
        </w:rPr>
        <w:t>1.截止时间、开标时间：</w:t>
      </w:r>
      <w:r>
        <w:rPr>
          <w:rFonts w:hint="eastAsia" w:hAnsi="宋体" w:cs="宋体"/>
          <w:color w:val="auto"/>
          <w:sz w:val="24"/>
          <w:szCs w:val="24"/>
          <w:highlight w:val="none"/>
          <w:lang w:eastAsia="zh-CN"/>
        </w:rPr>
        <w:t>2026年</w:t>
      </w:r>
      <w:r>
        <w:rPr>
          <w:rFonts w:hint="eastAsia" w:hAnsi="宋体" w:cs="宋体"/>
          <w:color w:val="auto"/>
          <w:sz w:val="24"/>
          <w:szCs w:val="24"/>
          <w:highlight w:val="none"/>
          <w:lang w:val="en-US" w:eastAsia="zh-CN"/>
        </w:rPr>
        <w:t>10</w:t>
      </w:r>
      <w:r>
        <w:rPr>
          <w:rFonts w:hint="eastAsia" w:hAnsi="宋体" w:cs="宋体"/>
          <w:color w:val="auto"/>
          <w:sz w:val="24"/>
          <w:szCs w:val="24"/>
          <w:highlight w:val="none"/>
          <w:lang w:eastAsia="zh-CN"/>
        </w:rPr>
        <w:t>月</w:t>
      </w:r>
      <w:r>
        <w:rPr>
          <w:rFonts w:hint="eastAsia" w:hAnsi="宋体" w:cs="宋体"/>
          <w:color w:val="auto"/>
          <w:sz w:val="24"/>
          <w:szCs w:val="24"/>
          <w:highlight w:val="none"/>
          <w:lang w:val="en-US" w:eastAsia="zh-CN"/>
        </w:rPr>
        <w:t>23</w:t>
      </w:r>
      <w:r>
        <w:rPr>
          <w:rFonts w:hint="eastAsia" w:hAnsi="宋体" w:cs="宋体"/>
          <w:color w:val="auto"/>
          <w:sz w:val="24"/>
          <w:szCs w:val="24"/>
          <w:highlight w:val="none"/>
          <w:lang w:eastAsia="zh-CN"/>
        </w:rPr>
        <w:t>日</w:t>
      </w:r>
      <w:r>
        <w:rPr>
          <w:rFonts w:hint="eastAsia" w:hAnsi="宋体" w:cs="宋体"/>
          <w:color w:val="auto"/>
          <w:sz w:val="24"/>
          <w:szCs w:val="24"/>
          <w:highlight w:val="none"/>
          <w:lang w:val="en-US" w:eastAsia="zh-CN"/>
        </w:rPr>
        <w:t>10</w:t>
      </w:r>
      <w:r>
        <w:rPr>
          <w:rFonts w:hint="eastAsia" w:hAnsi="宋体" w:cs="宋体"/>
          <w:color w:val="auto"/>
          <w:sz w:val="24"/>
          <w:szCs w:val="24"/>
          <w:highlight w:val="none"/>
          <w:lang w:eastAsia="zh-CN"/>
        </w:rPr>
        <w:t>点</w:t>
      </w:r>
      <w:r>
        <w:rPr>
          <w:rFonts w:hint="eastAsia" w:hAnsi="宋体" w:cs="宋体"/>
          <w:color w:val="auto"/>
          <w:sz w:val="24"/>
          <w:szCs w:val="24"/>
          <w:highlight w:val="none"/>
          <w:lang w:val="en-US" w:eastAsia="zh-CN"/>
        </w:rPr>
        <w:t>00</w:t>
      </w:r>
      <w:r>
        <w:rPr>
          <w:rFonts w:hint="eastAsia" w:hAnsi="宋体" w:cs="宋体"/>
          <w:color w:val="auto"/>
          <w:sz w:val="24"/>
          <w:szCs w:val="24"/>
          <w:highlight w:val="none"/>
          <w:lang w:eastAsia="zh-CN"/>
        </w:rPr>
        <w:t>分</w:t>
      </w:r>
      <w:r>
        <w:rPr>
          <w:rFonts w:hint="eastAsia" w:hAnsi="宋体" w:cs="宋体"/>
          <w:bCs/>
          <w:color w:val="auto"/>
          <w:sz w:val="24"/>
          <w:szCs w:val="24"/>
          <w:highlight w:val="none"/>
          <w:lang w:val="zh-CN"/>
        </w:rPr>
        <w:t>。</w:t>
      </w:r>
    </w:p>
    <w:p w14:paraId="3F620F8B">
      <w:pPr>
        <w:keepNext w:val="0"/>
        <w:keepLines w:val="0"/>
        <w:pageBreakBefore w:val="0"/>
        <w:widowControl w:val="0"/>
        <w:kinsoku/>
        <w:wordWrap w:val="0"/>
        <w:overflowPunct/>
        <w:topLinePunct/>
        <w:autoSpaceDE/>
        <w:autoSpaceDN/>
        <w:bidi w:val="0"/>
        <w:adjustRightInd/>
        <w:snapToGrid/>
        <w:spacing w:line="480" w:lineRule="auto"/>
        <w:ind w:left="0" w:leftChars="0" w:firstLine="0" w:firstLineChars="0"/>
        <w:textAlignment w:val="auto"/>
        <w:rPr>
          <w:rFonts w:hint="eastAsia" w:hAnsi="宋体" w:cs="宋体"/>
          <w:bCs/>
          <w:color w:val="auto"/>
          <w:sz w:val="24"/>
          <w:szCs w:val="24"/>
          <w:highlight w:val="none"/>
          <w:lang w:val="zh-CN"/>
        </w:rPr>
      </w:pPr>
      <w:r>
        <w:rPr>
          <w:rFonts w:hint="eastAsia"/>
          <w:bCs/>
          <w:color w:val="auto"/>
          <w:sz w:val="24"/>
          <w:szCs w:val="24"/>
          <w:highlight w:val="none"/>
          <w:lang w:val="zh-CN"/>
        </w:rPr>
        <w:t>2.</w:t>
      </w:r>
      <w:r>
        <w:rPr>
          <w:rFonts w:hint="eastAsia" w:hAnsi="宋体" w:cs="宋体"/>
          <w:bCs/>
          <w:color w:val="auto"/>
          <w:sz w:val="24"/>
          <w:szCs w:val="24"/>
          <w:highlight w:val="none"/>
          <w:lang w:val="zh-CN"/>
        </w:rPr>
        <w:t>地点：吉林省松原市扶余市扶余市公共资源交易中心六楼开标二室</w:t>
      </w:r>
      <w:r>
        <w:rPr>
          <w:rFonts w:hint="eastAsia"/>
          <w:bCs/>
          <w:color w:val="auto"/>
          <w:sz w:val="24"/>
          <w:szCs w:val="24"/>
          <w:highlight w:val="none"/>
          <w:lang w:val="zh-CN"/>
        </w:rPr>
        <w:t>。</w:t>
      </w:r>
    </w:p>
    <w:p w14:paraId="25CCE2B1">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Ansi="宋体" w:cs="宋体"/>
          <w:bCs/>
          <w:color w:val="auto"/>
          <w:sz w:val="24"/>
          <w:szCs w:val="24"/>
          <w:highlight w:val="none"/>
        </w:rPr>
      </w:pPr>
      <w:r>
        <w:rPr>
          <w:rFonts w:hint="eastAsia" w:hAnsi="宋体" w:cs="宋体"/>
          <w:bCs/>
          <w:color w:val="auto"/>
          <w:sz w:val="24"/>
          <w:szCs w:val="24"/>
          <w:highlight w:val="none"/>
        </w:rPr>
        <w:t>3.本项目采用全流程电子化采购，需通过政府采购云平台（https://www.zcygov.cn/）递交电子投标文件，</w:t>
      </w:r>
      <w:r>
        <w:rPr>
          <w:rFonts w:hint="eastAsia" w:hAnsi="宋体" w:cs="宋体"/>
          <w:bCs/>
          <w:color w:val="auto"/>
          <w:sz w:val="24"/>
          <w:szCs w:val="24"/>
          <w:highlight w:val="none"/>
          <w:lang w:eastAsia="zh-CN"/>
        </w:rPr>
        <w:t>投标人</w:t>
      </w:r>
      <w:r>
        <w:rPr>
          <w:rFonts w:hint="eastAsia" w:hAnsi="宋体" w:cs="宋体"/>
          <w:bCs/>
          <w:color w:val="auto"/>
          <w:sz w:val="24"/>
          <w:szCs w:val="24"/>
          <w:highlight w:val="none"/>
        </w:rPr>
        <w:t>无须到现场。</w:t>
      </w:r>
    </w:p>
    <w:p w14:paraId="4968AC8A">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default" w:hAnsi="宋体" w:eastAsia="宋体" w:cs="宋体"/>
          <w:bCs/>
          <w:color w:val="auto"/>
          <w:sz w:val="24"/>
          <w:szCs w:val="24"/>
          <w:highlight w:val="none"/>
          <w:lang w:val="en-US" w:eastAsia="zh-CN"/>
        </w:rPr>
      </w:pPr>
      <w:r>
        <w:rPr>
          <w:rFonts w:hint="eastAsia" w:hAnsi="宋体" w:cs="宋体"/>
          <w:bCs/>
          <w:color w:val="auto"/>
          <w:sz w:val="24"/>
          <w:szCs w:val="24"/>
          <w:highlight w:val="none"/>
        </w:rPr>
        <w:t>4.操作流程：</w:t>
      </w:r>
      <w:r>
        <w:rPr>
          <w:rFonts w:hint="eastAsia" w:hAnsi="宋体" w:cs="宋体"/>
          <w:bCs/>
          <w:color w:val="auto"/>
          <w:sz w:val="24"/>
          <w:szCs w:val="24"/>
          <w:highlight w:val="none"/>
          <w:lang w:eastAsia="zh-CN"/>
        </w:rPr>
        <w:t>投标人</w:t>
      </w:r>
      <w:r>
        <w:rPr>
          <w:rFonts w:hint="eastAsia" w:hAnsi="宋体" w:cs="宋体"/>
          <w:bCs/>
          <w:color w:val="auto"/>
          <w:sz w:val="24"/>
          <w:szCs w:val="24"/>
          <w:highlight w:val="none"/>
        </w:rPr>
        <w:t>在政府采购云平台注册入库成为正式</w:t>
      </w:r>
      <w:r>
        <w:rPr>
          <w:rFonts w:hint="eastAsia" w:hAnsi="宋体" w:cs="宋体"/>
          <w:bCs/>
          <w:color w:val="auto"/>
          <w:sz w:val="24"/>
          <w:szCs w:val="24"/>
          <w:highlight w:val="none"/>
          <w:lang w:eastAsia="zh-CN"/>
        </w:rPr>
        <w:t>投标人</w:t>
      </w:r>
      <w:r>
        <w:rPr>
          <w:rFonts w:hint="eastAsia" w:hAnsi="宋体" w:cs="宋体"/>
          <w:bCs/>
          <w:color w:val="auto"/>
          <w:sz w:val="24"/>
          <w:szCs w:val="24"/>
          <w:highlight w:val="none"/>
        </w:rPr>
        <w:t>后，在平台按《政府采购项目电子交易管理操作指南-</w:t>
      </w:r>
      <w:r>
        <w:rPr>
          <w:rFonts w:hint="eastAsia" w:hAnsi="宋体" w:cs="宋体"/>
          <w:bCs/>
          <w:color w:val="auto"/>
          <w:sz w:val="24"/>
          <w:szCs w:val="24"/>
          <w:highlight w:val="none"/>
          <w:lang w:eastAsia="zh-CN"/>
        </w:rPr>
        <w:t>投标人</w:t>
      </w:r>
      <w:r>
        <w:rPr>
          <w:rFonts w:hint="eastAsia" w:hAnsi="宋体" w:cs="宋体"/>
          <w:bCs/>
          <w:color w:val="auto"/>
          <w:sz w:val="24"/>
          <w:szCs w:val="24"/>
          <w:highlight w:val="none"/>
        </w:rPr>
        <w:t>》进行操作。由于</w:t>
      </w:r>
      <w:r>
        <w:rPr>
          <w:rFonts w:hint="eastAsia" w:hAnsi="宋体" w:cs="宋体"/>
          <w:bCs/>
          <w:color w:val="auto"/>
          <w:sz w:val="24"/>
          <w:szCs w:val="24"/>
          <w:highlight w:val="none"/>
          <w:lang w:eastAsia="zh-CN"/>
        </w:rPr>
        <w:t>投标人</w:t>
      </w:r>
      <w:r>
        <w:rPr>
          <w:rFonts w:hint="eastAsia" w:hAnsi="宋体" w:cs="宋体"/>
          <w:bCs/>
          <w:color w:val="auto"/>
          <w:sz w:val="24"/>
          <w:szCs w:val="24"/>
          <w:highlight w:val="none"/>
        </w:rPr>
        <w:t>自身原因在递交投标文件截止时间前无法完成办理的，后果自负。</w:t>
      </w:r>
    </w:p>
    <w:p w14:paraId="59DC17C7">
      <w:pPr>
        <w:keepNext w:val="0"/>
        <w:keepLines w:val="0"/>
        <w:pageBreakBefore w:val="0"/>
        <w:widowControl w:val="0"/>
        <w:kinsoku/>
        <w:wordWrap w:val="0"/>
        <w:overflowPunct/>
        <w:topLinePunct/>
        <w:autoSpaceDE/>
        <w:autoSpaceDN/>
        <w:bidi w:val="0"/>
        <w:adjustRightInd/>
        <w:snapToGrid/>
        <w:spacing w:line="480" w:lineRule="auto"/>
        <w:ind w:left="0" w:leftChars="0" w:firstLine="0" w:firstLineChars="0"/>
        <w:textAlignment w:val="auto"/>
        <w:rPr>
          <w:rFonts w:hint="eastAsia"/>
          <w:b/>
          <w:color w:val="auto"/>
          <w:sz w:val="24"/>
          <w:szCs w:val="24"/>
          <w:highlight w:val="none"/>
          <w:lang w:val="zh-CN"/>
        </w:rPr>
      </w:pPr>
      <w:r>
        <w:rPr>
          <w:rFonts w:hint="eastAsia" w:hAnsi="宋体" w:cs="宋体"/>
          <w:b/>
          <w:color w:val="auto"/>
          <w:sz w:val="24"/>
          <w:szCs w:val="24"/>
          <w:highlight w:val="none"/>
          <w:lang w:val="zh-CN"/>
        </w:rPr>
        <w:t>五</w:t>
      </w:r>
      <w:r>
        <w:rPr>
          <w:rFonts w:hint="eastAsia"/>
          <w:b/>
          <w:color w:val="auto"/>
          <w:sz w:val="24"/>
          <w:szCs w:val="24"/>
          <w:highlight w:val="none"/>
          <w:lang w:val="zh-CN"/>
        </w:rPr>
        <w:t>、</w:t>
      </w:r>
      <w:r>
        <w:rPr>
          <w:rFonts w:hint="eastAsia" w:hAnsi="宋体" w:cs="宋体"/>
          <w:b/>
          <w:color w:val="auto"/>
          <w:sz w:val="24"/>
          <w:szCs w:val="24"/>
          <w:highlight w:val="none"/>
          <w:lang w:val="zh-CN"/>
        </w:rPr>
        <w:t>公告期限</w:t>
      </w:r>
      <w:bookmarkEnd w:id="14"/>
      <w:bookmarkEnd w:id="15"/>
      <w:bookmarkEnd w:id="16"/>
      <w:bookmarkEnd w:id="17"/>
    </w:p>
    <w:p w14:paraId="63D549A2">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hAnsi="宋体" w:cs="宋体"/>
          <w:bCs/>
          <w:color w:val="auto"/>
          <w:sz w:val="24"/>
          <w:szCs w:val="24"/>
          <w:highlight w:val="none"/>
          <w:lang w:val="zh-CN"/>
        </w:rPr>
      </w:pPr>
      <w:r>
        <w:rPr>
          <w:rFonts w:hint="eastAsia" w:hAnsi="宋体" w:cs="宋体"/>
          <w:bCs/>
          <w:color w:val="auto"/>
          <w:sz w:val="24"/>
          <w:szCs w:val="24"/>
          <w:highlight w:val="none"/>
          <w:lang w:val="zh-CN"/>
        </w:rPr>
        <w:t>自本公告发布之日起5个工作日。</w:t>
      </w:r>
    </w:p>
    <w:p w14:paraId="35D29E99">
      <w:pPr>
        <w:keepNext w:val="0"/>
        <w:keepLines w:val="0"/>
        <w:pageBreakBefore w:val="0"/>
        <w:widowControl w:val="0"/>
        <w:kinsoku/>
        <w:wordWrap w:val="0"/>
        <w:overflowPunct/>
        <w:topLinePunct/>
        <w:autoSpaceDE/>
        <w:autoSpaceDN/>
        <w:bidi w:val="0"/>
        <w:adjustRightInd/>
        <w:snapToGrid/>
        <w:spacing w:line="480" w:lineRule="auto"/>
        <w:ind w:left="0" w:leftChars="0" w:firstLine="0" w:firstLineChars="0"/>
        <w:textAlignment w:val="auto"/>
        <w:rPr>
          <w:rFonts w:hint="eastAsia" w:hAnsi="宋体" w:cs="宋体"/>
          <w:b/>
          <w:bCs/>
          <w:color w:val="auto"/>
          <w:sz w:val="24"/>
          <w:szCs w:val="24"/>
          <w:highlight w:val="none"/>
        </w:rPr>
      </w:pPr>
      <w:bookmarkStart w:id="18" w:name="_Toc35393626"/>
      <w:bookmarkStart w:id="19" w:name="_Toc35393795"/>
      <w:r>
        <w:rPr>
          <w:rFonts w:hint="eastAsia" w:hAnsi="宋体" w:cs="宋体"/>
          <w:b/>
          <w:bCs/>
          <w:color w:val="auto"/>
          <w:sz w:val="24"/>
          <w:szCs w:val="24"/>
          <w:highlight w:val="none"/>
        </w:rPr>
        <w:t>六</w:t>
      </w:r>
      <w:r>
        <w:rPr>
          <w:rFonts w:hint="eastAsia"/>
          <w:b/>
          <w:bCs/>
          <w:color w:val="auto"/>
          <w:sz w:val="24"/>
          <w:szCs w:val="24"/>
          <w:highlight w:val="none"/>
        </w:rPr>
        <w:t>、</w:t>
      </w:r>
      <w:r>
        <w:rPr>
          <w:rFonts w:hint="eastAsia" w:hAnsi="宋体" w:cs="宋体"/>
          <w:b/>
          <w:bCs/>
          <w:color w:val="auto"/>
          <w:sz w:val="24"/>
          <w:szCs w:val="24"/>
          <w:highlight w:val="none"/>
        </w:rPr>
        <w:t>其他补充事宜</w:t>
      </w:r>
      <w:bookmarkEnd w:id="18"/>
      <w:bookmarkEnd w:id="19"/>
    </w:p>
    <w:p w14:paraId="1F02B463">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hAnsi="宋体" w:cs="宋体"/>
          <w:bCs/>
          <w:color w:val="auto"/>
          <w:sz w:val="24"/>
          <w:szCs w:val="24"/>
          <w:highlight w:val="none"/>
        </w:rPr>
      </w:pPr>
      <w:bookmarkStart w:id="20" w:name="_Toc28359085"/>
      <w:bookmarkStart w:id="21" w:name="_Toc35393796"/>
      <w:bookmarkStart w:id="22" w:name="_Toc35393627"/>
      <w:bookmarkStart w:id="23" w:name="_Toc28359008"/>
      <w:r>
        <w:rPr>
          <w:rFonts w:hint="eastAsia" w:hAnsi="宋体" w:cs="宋体"/>
          <w:bCs/>
          <w:color w:val="auto"/>
          <w:sz w:val="24"/>
          <w:szCs w:val="24"/>
          <w:highlight w:val="none"/>
        </w:rPr>
        <w:t>1.本次招标公告在政府采购云平台（http:// www.zcygov.cn）上发布，同步推送到吉林省政府采购网（http://www.ccgp-jilin.gov.cn/）</w:t>
      </w:r>
      <w:r>
        <w:rPr>
          <w:rFonts w:hint="eastAsia" w:hAnsi="宋体" w:cs="宋体"/>
          <w:bCs/>
          <w:color w:val="auto"/>
          <w:sz w:val="24"/>
          <w:szCs w:val="24"/>
          <w:highlight w:val="none"/>
          <w:lang w:val="en-US" w:eastAsia="zh-CN"/>
        </w:rPr>
        <w:t>及</w:t>
      </w:r>
      <w:r>
        <w:rPr>
          <w:rFonts w:hint="eastAsia" w:hAnsi="宋体" w:cs="宋体"/>
          <w:bCs/>
          <w:color w:val="auto"/>
          <w:sz w:val="24"/>
          <w:szCs w:val="24"/>
          <w:highlight w:val="none"/>
        </w:rPr>
        <w:t>中国政府采购网。潜在</w:t>
      </w:r>
      <w:r>
        <w:rPr>
          <w:rFonts w:hint="eastAsia" w:hAnsi="宋体" w:cs="宋体"/>
          <w:bCs/>
          <w:color w:val="auto"/>
          <w:sz w:val="24"/>
          <w:szCs w:val="24"/>
          <w:highlight w:val="none"/>
          <w:lang w:eastAsia="zh-CN"/>
        </w:rPr>
        <w:t>投标人</w:t>
      </w:r>
      <w:r>
        <w:rPr>
          <w:rFonts w:hint="eastAsia" w:hAnsi="宋体" w:cs="宋体"/>
          <w:bCs/>
          <w:color w:val="auto"/>
          <w:sz w:val="24"/>
          <w:szCs w:val="24"/>
          <w:highlight w:val="none"/>
        </w:rPr>
        <w:t>若因通过其他途径获取招标信息造成损失，与本次采购人及采购代理机构无关。</w:t>
      </w:r>
    </w:p>
    <w:p w14:paraId="44983234">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hAnsi="宋体" w:cs="宋体"/>
          <w:bCs/>
          <w:color w:val="auto"/>
          <w:sz w:val="24"/>
          <w:szCs w:val="24"/>
          <w:highlight w:val="none"/>
        </w:rPr>
      </w:pPr>
      <w:r>
        <w:rPr>
          <w:rFonts w:hint="eastAsia" w:hAnsi="宋体" w:cs="宋体"/>
          <w:bCs/>
          <w:color w:val="auto"/>
          <w:sz w:val="24"/>
          <w:szCs w:val="24"/>
          <w:highlight w:val="none"/>
        </w:rPr>
        <w:t>2.按照财政部财库[2014]68号、[2017]141号、[2019]9号、[2020]46号等文件要求，需要落实政府采购支持节能环保、促进中小企业发展等政策。</w:t>
      </w:r>
    </w:p>
    <w:p w14:paraId="628760DF">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hAnsi="宋体" w:cs="宋体"/>
          <w:bCs/>
          <w:color w:val="auto"/>
          <w:sz w:val="24"/>
          <w:szCs w:val="24"/>
          <w:highlight w:val="none"/>
        </w:rPr>
      </w:pPr>
      <w:r>
        <w:rPr>
          <w:rFonts w:hint="eastAsia" w:hAnsi="宋体" w:cs="宋体"/>
          <w:bCs/>
          <w:color w:val="auto"/>
          <w:sz w:val="24"/>
          <w:szCs w:val="24"/>
          <w:highlight w:val="none"/>
        </w:rPr>
        <w:t>3.有效投标人不足三家时，采购人另行组织招标。</w:t>
      </w:r>
    </w:p>
    <w:p w14:paraId="594B616E">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hAnsi="宋体" w:cs="宋体"/>
          <w:bCs/>
          <w:color w:val="auto"/>
          <w:sz w:val="24"/>
          <w:szCs w:val="24"/>
          <w:highlight w:val="none"/>
        </w:rPr>
      </w:pPr>
      <w:r>
        <w:rPr>
          <w:rFonts w:hint="eastAsia" w:hAnsi="宋体" w:cs="宋体"/>
          <w:bCs/>
          <w:color w:val="auto"/>
          <w:sz w:val="24"/>
          <w:szCs w:val="24"/>
          <w:highlight w:val="none"/>
        </w:rPr>
        <w:t>4.若对项目采购电子交易系统操作有疑问，可登录“政采云”平台，点击右侧咨询小采，获取采小蜜智能服务管家帮助，或拨打政采云服务热线95763获取帮助。</w:t>
      </w:r>
    </w:p>
    <w:p w14:paraId="05056840">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default"/>
          <w:color w:val="auto"/>
          <w:sz w:val="24"/>
          <w:szCs w:val="28"/>
          <w:highlight w:val="none"/>
          <w:lang w:val="en-US" w:eastAsia="zh-CN"/>
        </w:rPr>
      </w:pPr>
      <w:r>
        <w:rPr>
          <w:rFonts w:hint="eastAsia" w:hAnsi="宋体" w:cs="宋体"/>
          <w:bCs/>
          <w:color w:val="auto"/>
          <w:sz w:val="24"/>
          <w:szCs w:val="24"/>
          <w:highlight w:val="none"/>
          <w:lang w:val="en-US" w:eastAsia="zh-CN"/>
        </w:rPr>
        <w:t>5.依据《吉林省财政厅印发&lt;关于开展“双盲”评审有关工作的通知&gt;》相关要求，本项目采用“双盲”评审。投标人应按照招标文件要求对投标文件的商务标“明标”、技术标“暗标”分开制作，评标委员会按要求对商务标采取明标评审、对技术标采取暗标评审。</w:t>
      </w:r>
    </w:p>
    <w:p w14:paraId="546A59C5">
      <w:pPr>
        <w:keepNext w:val="0"/>
        <w:keepLines w:val="0"/>
        <w:pageBreakBefore w:val="0"/>
        <w:widowControl w:val="0"/>
        <w:kinsoku/>
        <w:wordWrap w:val="0"/>
        <w:overflowPunct/>
        <w:topLinePunct/>
        <w:autoSpaceDE/>
        <w:autoSpaceDN/>
        <w:bidi w:val="0"/>
        <w:adjustRightInd/>
        <w:snapToGrid/>
        <w:spacing w:line="480" w:lineRule="auto"/>
        <w:ind w:left="0" w:leftChars="0" w:firstLine="0" w:firstLineChars="0"/>
        <w:textAlignment w:val="auto"/>
        <w:rPr>
          <w:rFonts w:hint="eastAsia" w:hAnsi="宋体" w:cs="宋体"/>
          <w:b/>
          <w:bCs/>
          <w:color w:val="auto"/>
          <w:sz w:val="24"/>
          <w:szCs w:val="24"/>
          <w:highlight w:val="none"/>
        </w:rPr>
      </w:pPr>
      <w:r>
        <w:rPr>
          <w:rFonts w:hint="eastAsia" w:hAnsi="宋体" w:cs="宋体"/>
          <w:b/>
          <w:bCs/>
          <w:color w:val="auto"/>
          <w:sz w:val="24"/>
          <w:szCs w:val="24"/>
          <w:highlight w:val="none"/>
        </w:rPr>
        <w:t>七、对本次招标提出询问，请按以下方式联系</w:t>
      </w:r>
      <w:bookmarkEnd w:id="20"/>
      <w:bookmarkEnd w:id="21"/>
      <w:bookmarkEnd w:id="22"/>
      <w:bookmarkEnd w:id="23"/>
      <w:r>
        <w:rPr>
          <w:rFonts w:hint="eastAsia" w:hAnsi="宋体" w:cs="宋体"/>
          <w:b/>
          <w:bCs/>
          <w:color w:val="auto"/>
          <w:sz w:val="24"/>
          <w:szCs w:val="24"/>
          <w:highlight w:val="none"/>
        </w:rPr>
        <w:t>：</w:t>
      </w:r>
    </w:p>
    <w:p w14:paraId="4E78F340">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color w:val="auto"/>
          <w:sz w:val="24"/>
          <w:szCs w:val="24"/>
          <w:highlight w:val="none"/>
        </w:rPr>
      </w:pPr>
      <w:r>
        <w:rPr>
          <w:rFonts w:hint="eastAsia"/>
          <w:color w:val="auto"/>
          <w:sz w:val="24"/>
          <w:szCs w:val="24"/>
          <w:highlight w:val="none"/>
        </w:rPr>
        <w:t>1.采购人信息</w:t>
      </w:r>
    </w:p>
    <w:p w14:paraId="636B4C4A">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ascii="宋体" w:hAnsi="Times New Roman" w:eastAsia="宋体" w:cs="Times New Roman"/>
          <w:color w:val="auto"/>
          <w:sz w:val="24"/>
          <w:szCs w:val="24"/>
          <w:highlight w:val="none"/>
          <w:lang w:eastAsia="zh-CN"/>
        </w:rPr>
      </w:pPr>
      <w:r>
        <w:rPr>
          <w:rFonts w:hint="eastAsia" w:ascii="宋体" w:hAnsi="Times New Roman" w:eastAsia="宋体" w:cs="Times New Roman"/>
          <w:color w:val="auto"/>
          <w:sz w:val="24"/>
          <w:szCs w:val="24"/>
          <w:highlight w:val="none"/>
        </w:rPr>
        <w:t>名称：</w:t>
      </w:r>
      <w:r>
        <w:rPr>
          <w:rFonts w:hint="eastAsia" w:cs="Times New Roman"/>
          <w:color w:val="auto"/>
          <w:sz w:val="24"/>
          <w:szCs w:val="24"/>
          <w:highlight w:val="none"/>
          <w:lang w:eastAsia="zh-CN"/>
        </w:rPr>
        <w:t>扶余市卫生健康局（扶余市中医院管理局）</w:t>
      </w:r>
    </w:p>
    <w:p w14:paraId="40579D8D">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default" w:ascii="宋体" w:hAnsi="Times New Roman" w:eastAsia="宋体" w:cs="Times New Roman"/>
          <w:color w:val="auto"/>
          <w:sz w:val="24"/>
          <w:szCs w:val="24"/>
          <w:highlight w:val="none"/>
          <w:lang w:val="en-US" w:eastAsia="zh-CN"/>
        </w:rPr>
      </w:pPr>
      <w:r>
        <w:rPr>
          <w:rFonts w:hint="eastAsia" w:ascii="宋体" w:hAnsi="Times New Roman" w:eastAsia="宋体" w:cs="Times New Roman"/>
          <w:color w:val="auto"/>
          <w:sz w:val="24"/>
          <w:szCs w:val="24"/>
          <w:highlight w:val="none"/>
        </w:rPr>
        <w:t>地址：吉林省松原市扶余市春华路1055号</w:t>
      </w:r>
    </w:p>
    <w:p w14:paraId="08ED7EA8">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default" w:ascii="宋体" w:hAnsi="Times New Roman" w:eastAsia="宋体" w:cs="Times New Roman"/>
          <w:color w:val="auto"/>
          <w:sz w:val="24"/>
          <w:szCs w:val="24"/>
          <w:highlight w:val="none"/>
          <w:lang w:val="en-US" w:eastAsia="zh-CN"/>
        </w:rPr>
      </w:pPr>
      <w:r>
        <w:rPr>
          <w:rFonts w:hint="eastAsia" w:ascii="宋体" w:hAnsi="Times New Roman" w:eastAsia="宋体" w:cs="Times New Roman"/>
          <w:color w:val="auto"/>
          <w:sz w:val="24"/>
          <w:szCs w:val="24"/>
          <w:highlight w:val="none"/>
          <w:lang w:val="en-US" w:eastAsia="zh-CN"/>
        </w:rPr>
        <w:t>联系人：</w:t>
      </w:r>
      <w:r>
        <w:rPr>
          <w:rFonts w:hint="eastAsia" w:cs="Times New Roman"/>
          <w:color w:val="auto"/>
          <w:sz w:val="24"/>
          <w:szCs w:val="24"/>
          <w:highlight w:val="none"/>
          <w:lang w:val="en-US" w:eastAsia="zh-CN"/>
        </w:rPr>
        <w:t>刘先生</w:t>
      </w:r>
    </w:p>
    <w:p w14:paraId="418BAB92">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ascii="宋体" w:hAnsi="Times New Roman" w:eastAsia="宋体" w:cs="Times New Roman"/>
          <w:color w:val="auto"/>
          <w:sz w:val="24"/>
          <w:szCs w:val="24"/>
          <w:highlight w:val="none"/>
        </w:rPr>
      </w:pPr>
      <w:r>
        <w:rPr>
          <w:rFonts w:hint="eastAsia" w:ascii="宋体" w:hAnsi="Times New Roman" w:eastAsia="宋体" w:cs="Times New Roman"/>
          <w:color w:val="auto"/>
          <w:sz w:val="24"/>
          <w:szCs w:val="24"/>
          <w:highlight w:val="none"/>
        </w:rPr>
        <w:t>联系方式：0438</w:t>
      </w:r>
      <w:r>
        <w:rPr>
          <w:rFonts w:hint="eastAsia" w:cs="Times New Roman"/>
          <w:color w:val="auto"/>
          <w:sz w:val="24"/>
          <w:szCs w:val="24"/>
          <w:highlight w:val="none"/>
          <w:lang w:val="en-US" w:eastAsia="zh-CN"/>
        </w:rPr>
        <w:t>-</w:t>
      </w:r>
      <w:r>
        <w:rPr>
          <w:rFonts w:hint="eastAsia" w:ascii="宋体" w:hAnsi="Times New Roman" w:eastAsia="宋体" w:cs="Times New Roman"/>
          <w:color w:val="auto"/>
          <w:sz w:val="24"/>
          <w:szCs w:val="24"/>
          <w:highlight w:val="none"/>
        </w:rPr>
        <w:t>5865238</w:t>
      </w:r>
    </w:p>
    <w:p w14:paraId="74EB63B5">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color w:val="auto"/>
          <w:sz w:val="24"/>
          <w:szCs w:val="24"/>
          <w:highlight w:val="none"/>
        </w:rPr>
      </w:pPr>
      <w:r>
        <w:rPr>
          <w:rFonts w:hint="eastAsia"/>
          <w:color w:val="auto"/>
          <w:sz w:val="24"/>
          <w:szCs w:val="24"/>
          <w:highlight w:val="none"/>
        </w:rPr>
        <w:t>2.采购代理机构信息</w:t>
      </w:r>
    </w:p>
    <w:p w14:paraId="037700A8">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采购代理机构：吉林省博翔工程咨询有限公司</w:t>
      </w:r>
    </w:p>
    <w:p w14:paraId="1422CD65">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地址：长春市高新区超越大街946号联东U谷信息科技产业园U4栋</w:t>
      </w:r>
    </w:p>
    <w:p w14:paraId="1A88F9E2">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default" w:ascii="宋体" w:hAnsi="宋体" w:eastAsia="宋体" w:cs="宋体"/>
          <w:bCs/>
          <w:color w:val="auto"/>
          <w:sz w:val="24"/>
          <w:szCs w:val="24"/>
          <w:highlight w:val="none"/>
          <w:lang w:val="en-US" w:eastAsia="zh-CN"/>
        </w:rPr>
      </w:pPr>
      <w:r>
        <w:rPr>
          <w:rFonts w:hint="eastAsia" w:hAnsi="宋体" w:cs="宋体"/>
          <w:bCs/>
          <w:color w:val="auto"/>
          <w:sz w:val="24"/>
          <w:szCs w:val="24"/>
          <w:highlight w:val="none"/>
          <w:lang w:val="en-US" w:eastAsia="zh-CN"/>
        </w:rPr>
        <w:t>联系人：</w:t>
      </w:r>
      <w:r>
        <w:rPr>
          <w:rFonts w:hint="eastAsia" w:ascii="宋体" w:hAnsi="宋体" w:eastAsia="宋体" w:cs="宋体"/>
          <w:bCs/>
          <w:color w:val="auto"/>
          <w:sz w:val="24"/>
          <w:szCs w:val="24"/>
          <w:highlight w:val="none"/>
        </w:rPr>
        <w:t>刘悦婷</w:t>
      </w:r>
    </w:p>
    <w:p w14:paraId="108F53C4">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color w:val="auto"/>
          <w:sz w:val="24"/>
          <w:szCs w:val="24"/>
          <w:highlight w:val="none"/>
        </w:rPr>
      </w:pPr>
      <w:r>
        <w:rPr>
          <w:rFonts w:hint="eastAsia" w:ascii="宋体" w:hAnsi="宋体" w:eastAsia="宋体" w:cs="宋体"/>
          <w:bCs/>
          <w:color w:val="auto"/>
          <w:sz w:val="24"/>
          <w:szCs w:val="24"/>
          <w:highlight w:val="none"/>
        </w:rPr>
        <w:t>联系方式：13194360826</w:t>
      </w:r>
    </w:p>
    <w:p w14:paraId="7F06FC8A">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color w:val="auto"/>
          <w:sz w:val="24"/>
          <w:szCs w:val="24"/>
          <w:highlight w:val="none"/>
        </w:rPr>
      </w:pPr>
      <w:r>
        <w:rPr>
          <w:rFonts w:hint="eastAsia"/>
          <w:color w:val="auto"/>
          <w:sz w:val="24"/>
          <w:szCs w:val="24"/>
          <w:highlight w:val="none"/>
        </w:rPr>
        <w:t>项目联系方式</w:t>
      </w:r>
    </w:p>
    <w:p w14:paraId="19E7922F">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联系人：刘悦婷</w:t>
      </w:r>
    </w:p>
    <w:p w14:paraId="15EEF831">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ascii="宋体" w:hAnsi="宋体" w:eastAsia="宋体" w:cs="宋体"/>
          <w:bCs/>
          <w:color w:val="auto"/>
          <w:sz w:val="24"/>
          <w:szCs w:val="24"/>
          <w:highlight w:val="none"/>
          <w:lang w:eastAsia="zh-CN"/>
        </w:rPr>
      </w:pPr>
      <w:r>
        <w:rPr>
          <w:rFonts w:hint="eastAsia" w:ascii="宋体" w:hAnsi="宋体" w:eastAsia="宋体" w:cs="宋体"/>
          <w:bCs/>
          <w:color w:val="auto"/>
          <w:sz w:val="24"/>
          <w:szCs w:val="24"/>
          <w:highlight w:val="none"/>
        </w:rPr>
        <w:t>电话：13194360826</w:t>
      </w:r>
    </w:p>
    <w:p w14:paraId="1646D3D3">
      <w:pPr>
        <w:keepNext w:val="0"/>
        <w:keepLines w:val="0"/>
        <w:pageBreakBefore w:val="0"/>
        <w:widowControl w:val="0"/>
        <w:kinsoku/>
        <w:wordWrap w:val="0"/>
        <w:overflowPunct/>
        <w:topLinePunct/>
        <w:autoSpaceDE/>
        <w:autoSpaceDN/>
        <w:bidi w:val="0"/>
        <w:adjustRightInd/>
        <w:snapToGrid/>
        <w:spacing w:line="480" w:lineRule="auto"/>
        <w:ind w:firstLine="0" w:firstLineChars="0"/>
        <w:textAlignment w:val="auto"/>
        <w:rPr>
          <w:rFonts w:hint="eastAsia" w:ascii="宋体" w:hAnsi="宋体" w:eastAsia="宋体" w:cs="宋体"/>
          <w:bCs/>
          <w:color w:val="auto"/>
          <w:sz w:val="24"/>
          <w:szCs w:val="24"/>
          <w:highlight w:val="none"/>
          <w:lang w:val="en-US" w:eastAsia="zh-CN"/>
        </w:rPr>
      </w:pPr>
      <w:r>
        <w:rPr>
          <w:rFonts w:hint="eastAsia"/>
          <w:color w:val="auto"/>
          <w:sz w:val="24"/>
          <w:szCs w:val="24"/>
          <w:highlight w:val="none"/>
        </w:rPr>
        <w:t>4.监督管理部门：</w:t>
      </w:r>
      <w:r>
        <w:rPr>
          <w:rFonts w:hint="eastAsia" w:ascii="宋体" w:hAnsi="宋体" w:eastAsia="宋体" w:cs="宋体"/>
          <w:bCs/>
          <w:color w:val="auto"/>
          <w:sz w:val="24"/>
          <w:szCs w:val="24"/>
          <w:highlight w:val="none"/>
          <w:lang w:val="en-US" w:eastAsia="zh-CN"/>
        </w:rPr>
        <w:t>扶余市政府采购管理工作办公室</w:t>
      </w:r>
    </w:p>
    <w:p w14:paraId="500D4B10">
      <w:pPr>
        <w:ind w:firstLine="420"/>
        <w:rPr>
          <w:rFonts w:hint="eastAsia" w:ascii="宋体" w:hAnsi="宋体" w:eastAsia="宋体" w:cs="宋体"/>
          <w:bCs/>
          <w:color w:val="auto"/>
          <w:sz w:val="21"/>
          <w:szCs w:val="21"/>
          <w:highlight w:val="none"/>
          <w:lang w:val="en-US" w:eastAsia="zh-CN"/>
        </w:rPr>
      </w:pPr>
    </w:p>
    <w:p w14:paraId="4AD9C899">
      <w:pPr>
        <w:ind w:firstLine="420"/>
        <w:rPr>
          <w:rFonts w:hint="eastAsia" w:ascii="宋体" w:hAnsi="宋体" w:eastAsia="宋体" w:cs="宋体"/>
          <w:bCs/>
          <w:color w:val="auto"/>
          <w:sz w:val="21"/>
          <w:szCs w:val="21"/>
          <w:highlight w:val="none"/>
          <w:lang w:val="en-US" w:eastAsia="zh-CN"/>
        </w:rPr>
      </w:pPr>
    </w:p>
    <w:p w14:paraId="2FB7D588">
      <w:pPr>
        <w:ind w:firstLine="420"/>
        <w:rPr>
          <w:rFonts w:hint="eastAsia" w:ascii="宋体" w:hAnsi="宋体" w:eastAsia="宋体" w:cs="宋体"/>
          <w:bCs/>
          <w:color w:val="auto"/>
          <w:sz w:val="21"/>
          <w:szCs w:val="21"/>
          <w:highlight w:val="none"/>
          <w:lang w:val="en-US" w:eastAsia="zh-CN"/>
        </w:rPr>
      </w:pPr>
    </w:p>
    <w:p w14:paraId="7020C1F9">
      <w:pPr>
        <w:ind w:firstLine="420"/>
        <w:rPr>
          <w:rFonts w:hint="eastAsia" w:ascii="宋体" w:hAnsi="宋体" w:eastAsia="宋体" w:cs="宋体"/>
          <w:bCs/>
          <w:color w:val="auto"/>
          <w:sz w:val="21"/>
          <w:szCs w:val="21"/>
          <w:highlight w:val="none"/>
          <w:lang w:val="en-US" w:eastAsia="zh-CN"/>
        </w:rPr>
      </w:pPr>
    </w:p>
    <w:p w14:paraId="079B3077">
      <w:pPr>
        <w:ind w:firstLine="420"/>
        <w:rPr>
          <w:rFonts w:hint="eastAsia" w:ascii="宋体" w:hAnsi="宋体" w:eastAsia="宋体" w:cs="宋体"/>
          <w:bCs/>
          <w:color w:val="auto"/>
          <w:sz w:val="21"/>
          <w:szCs w:val="21"/>
          <w:highlight w:val="none"/>
          <w:lang w:val="en-US" w:eastAsia="zh-CN"/>
        </w:rPr>
      </w:pPr>
    </w:p>
    <w:p w14:paraId="0EDBB309">
      <w:pPr>
        <w:ind w:firstLine="420"/>
        <w:rPr>
          <w:rFonts w:hint="eastAsia" w:ascii="宋体" w:hAnsi="宋体" w:eastAsia="宋体" w:cs="宋体"/>
          <w:bCs/>
          <w:color w:val="auto"/>
          <w:sz w:val="21"/>
          <w:szCs w:val="21"/>
          <w:highlight w:val="none"/>
          <w:lang w:val="en-US" w:eastAsia="zh-CN"/>
        </w:rPr>
      </w:pPr>
    </w:p>
    <w:p w14:paraId="71018D0A">
      <w:pPr>
        <w:ind w:firstLine="420"/>
        <w:rPr>
          <w:rFonts w:hint="eastAsia" w:ascii="宋体" w:hAnsi="宋体" w:eastAsia="宋体" w:cs="宋体"/>
          <w:bCs/>
          <w:color w:val="auto"/>
          <w:sz w:val="21"/>
          <w:szCs w:val="21"/>
          <w:highlight w:val="none"/>
          <w:lang w:val="en-US" w:eastAsia="zh-CN"/>
        </w:rPr>
      </w:pPr>
    </w:p>
    <w:p w14:paraId="354BB03C">
      <w:pPr>
        <w:ind w:firstLine="420"/>
        <w:rPr>
          <w:rFonts w:hint="eastAsia" w:ascii="宋体" w:hAnsi="宋体" w:eastAsia="宋体" w:cs="宋体"/>
          <w:bCs/>
          <w:color w:val="auto"/>
          <w:sz w:val="21"/>
          <w:szCs w:val="21"/>
          <w:highlight w:val="none"/>
          <w:lang w:val="en-US" w:eastAsia="zh-CN"/>
        </w:rPr>
      </w:pPr>
    </w:p>
    <w:p w14:paraId="30578BF4">
      <w:pPr>
        <w:ind w:firstLine="420"/>
        <w:rPr>
          <w:rFonts w:hint="eastAsia" w:ascii="宋体" w:hAnsi="宋体" w:eastAsia="宋体" w:cs="宋体"/>
          <w:bCs/>
          <w:color w:val="auto"/>
          <w:sz w:val="21"/>
          <w:szCs w:val="21"/>
          <w:highlight w:val="none"/>
          <w:lang w:val="en-US" w:eastAsia="zh-CN"/>
        </w:rPr>
      </w:pPr>
    </w:p>
    <w:p w14:paraId="1FA1B774">
      <w:pPr>
        <w:ind w:firstLine="420"/>
        <w:rPr>
          <w:rFonts w:hint="eastAsia" w:ascii="宋体" w:hAnsi="宋体" w:eastAsia="宋体" w:cs="宋体"/>
          <w:bCs/>
          <w:color w:val="auto"/>
          <w:sz w:val="21"/>
          <w:szCs w:val="21"/>
          <w:highlight w:val="none"/>
          <w:lang w:val="en-US" w:eastAsia="zh-CN"/>
        </w:rPr>
      </w:pPr>
    </w:p>
    <w:p w14:paraId="02517E60">
      <w:pPr>
        <w:ind w:firstLine="420"/>
        <w:rPr>
          <w:rFonts w:hint="eastAsia" w:ascii="宋体" w:hAnsi="宋体" w:eastAsia="宋体" w:cs="宋体"/>
          <w:bCs/>
          <w:color w:val="auto"/>
          <w:sz w:val="21"/>
          <w:szCs w:val="21"/>
          <w:highlight w:val="none"/>
          <w:lang w:val="en-US" w:eastAsia="zh-CN"/>
        </w:rPr>
      </w:pPr>
    </w:p>
    <w:p w14:paraId="4ED6A81A">
      <w:pPr>
        <w:ind w:firstLine="420"/>
        <w:rPr>
          <w:rFonts w:hint="eastAsia" w:ascii="宋体" w:hAnsi="宋体" w:eastAsia="宋体" w:cs="宋体"/>
          <w:bCs/>
          <w:color w:val="auto"/>
          <w:sz w:val="21"/>
          <w:szCs w:val="21"/>
          <w:highlight w:val="none"/>
          <w:lang w:val="en-US" w:eastAsia="zh-CN"/>
        </w:rPr>
      </w:pPr>
    </w:p>
    <w:p w14:paraId="136B54AD">
      <w:pPr>
        <w:ind w:firstLine="420"/>
        <w:rPr>
          <w:rFonts w:hint="eastAsia" w:ascii="宋体" w:hAnsi="宋体" w:eastAsia="宋体" w:cs="宋体"/>
          <w:bCs/>
          <w:color w:val="auto"/>
          <w:sz w:val="21"/>
          <w:szCs w:val="21"/>
          <w:highlight w:val="none"/>
          <w:lang w:val="en-US" w:eastAsia="zh-CN"/>
        </w:rPr>
      </w:pPr>
    </w:p>
    <w:p w14:paraId="62E8452E">
      <w:pPr>
        <w:ind w:firstLine="420"/>
        <w:rPr>
          <w:rFonts w:hint="eastAsia" w:ascii="宋体" w:hAnsi="宋体" w:eastAsia="宋体" w:cs="宋体"/>
          <w:bCs/>
          <w:color w:val="auto"/>
          <w:sz w:val="21"/>
          <w:szCs w:val="21"/>
          <w:highlight w:val="none"/>
          <w:lang w:val="en-US" w:eastAsia="zh-CN"/>
        </w:rPr>
      </w:pPr>
    </w:p>
    <w:p w14:paraId="62239415">
      <w:pPr>
        <w:ind w:firstLine="420"/>
        <w:rPr>
          <w:rFonts w:hint="eastAsia" w:ascii="宋体" w:hAnsi="宋体" w:eastAsia="宋体" w:cs="宋体"/>
          <w:bCs/>
          <w:color w:val="auto"/>
          <w:sz w:val="21"/>
          <w:szCs w:val="21"/>
          <w:highlight w:val="none"/>
          <w:lang w:val="en-US" w:eastAsia="zh-CN"/>
        </w:rPr>
      </w:pPr>
    </w:p>
    <w:p w14:paraId="0DCDE2E2">
      <w:pPr>
        <w:ind w:firstLine="420"/>
        <w:rPr>
          <w:rFonts w:hint="eastAsia" w:ascii="宋体" w:hAnsi="宋体" w:eastAsia="宋体" w:cs="宋体"/>
          <w:bCs/>
          <w:color w:val="auto"/>
          <w:sz w:val="21"/>
          <w:szCs w:val="21"/>
          <w:highlight w:val="none"/>
          <w:lang w:val="en-US" w:eastAsia="zh-CN"/>
        </w:rPr>
      </w:pPr>
    </w:p>
    <w:p w14:paraId="0A242BF8">
      <w:pPr>
        <w:ind w:firstLine="420"/>
        <w:rPr>
          <w:rFonts w:hint="eastAsia" w:ascii="宋体" w:hAnsi="宋体" w:eastAsia="宋体" w:cs="宋体"/>
          <w:bCs/>
          <w:color w:val="auto"/>
          <w:sz w:val="21"/>
          <w:szCs w:val="21"/>
          <w:highlight w:val="none"/>
          <w:lang w:val="en-US" w:eastAsia="zh-CN"/>
        </w:rPr>
      </w:pPr>
    </w:p>
    <w:p w14:paraId="518844C4">
      <w:pPr>
        <w:ind w:firstLine="420"/>
        <w:rPr>
          <w:rFonts w:hint="eastAsia" w:ascii="宋体" w:hAnsi="宋体" w:eastAsia="宋体" w:cs="宋体"/>
          <w:bCs/>
          <w:color w:val="auto"/>
          <w:sz w:val="21"/>
          <w:szCs w:val="21"/>
          <w:highlight w:val="none"/>
          <w:lang w:val="en-US" w:eastAsia="zh-CN"/>
        </w:rPr>
      </w:pPr>
    </w:p>
    <w:p w14:paraId="5BCC7285">
      <w:pPr>
        <w:ind w:firstLine="420"/>
        <w:rPr>
          <w:rFonts w:hint="eastAsia" w:ascii="宋体" w:hAnsi="宋体" w:eastAsia="宋体" w:cs="宋体"/>
          <w:bCs/>
          <w:color w:val="auto"/>
          <w:sz w:val="21"/>
          <w:szCs w:val="21"/>
          <w:highlight w:val="none"/>
          <w:lang w:val="en-US" w:eastAsia="zh-CN"/>
        </w:rPr>
      </w:pPr>
    </w:p>
    <w:p w14:paraId="31641625">
      <w:pPr>
        <w:ind w:firstLine="420"/>
        <w:rPr>
          <w:rFonts w:hint="eastAsia" w:ascii="宋体" w:hAnsi="宋体" w:eastAsia="宋体" w:cs="宋体"/>
          <w:bCs/>
          <w:color w:val="auto"/>
          <w:sz w:val="21"/>
          <w:szCs w:val="21"/>
          <w:highlight w:val="none"/>
          <w:lang w:val="en-US" w:eastAsia="zh-CN"/>
        </w:rPr>
      </w:pPr>
    </w:p>
    <w:p w14:paraId="55DCF023">
      <w:pPr>
        <w:ind w:firstLine="420"/>
        <w:rPr>
          <w:rFonts w:hint="eastAsia" w:ascii="宋体" w:hAnsi="宋体" w:eastAsia="宋体" w:cs="宋体"/>
          <w:bCs/>
          <w:color w:val="auto"/>
          <w:sz w:val="21"/>
          <w:szCs w:val="21"/>
          <w:highlight w:val="none"/>
          <w:lang w:val="en-US" w:eastAsia="zh-CN"/>
        </w:rPr>
      </w:pPr>
    </w:p>
    <w:p w14:paraId="2A96ED02">
      <w:pPr>
        <w:ind w:firstLine="420"/>
        <w:rPr>
          <w:rFonts w:hint="eastAsia" w:ascii="宋体" w:hAnsi="宋体" w:eastAsia="宋体" w:cs="宋体"/>
          <w:bCs/>
          <w:color w:val="auto"/>
          <w:sz w:val="21"/>
          <w:szCs w:val="21"/>
          <w:highlight w:val="none"/>
          <w:lang w:val="en-US" w:eastAsia="zh-CN"/>
        </w:rPr>
      </w:pPr>
    </w:p>
    <w:p w14:paraId="372C0401">
      <w:pPr>
        <w:ind w:firstLine="420"/>
        <w:rPr>
          <w:rFonts w:hint="eastAsia" w:ascii="宋体" w:hAnsi="宋体" w:eastAsia="宋体" w:cs="宋体"/>
          <w:bCs/>
          <w:color w:val="auto"/>
          <w:sz w:val="21"/>
          <w:szCs w:val="21"/>
          <w:highlight w:val="none"/>
          <w:lang w:val="en-US" w:eastAsia="zh-CN"/>
        </w:rPr>
      </w:pPr>
    </w:p>
    <w:p w14:paraId="76E887E8">
      <w:pPr>
        <w:ind w:firstLine="420"/>
        <w:rPr>
          <w:rFonts w:hint="eastAsia" w:ascii="宋体" w:hAnsi="宋体" w:eastAsia="宋体" w:cs="宋体"/>
          <w:bCs/>
          <w:color w:val="auto"/>
          <w:sz w:val="21"/>
          <w:szCs w:val="21"/>
          <w:highlight w:val="none"/>
          <w:lang w:val="en-US" w:eastAsia="zh-CN"/>
        </w:rPr>
      </w:pPr>
    </w:p>
    <w:p w14:paraId="343ECACE">
      <w:pPr>
        <w:ind w:firstLine="420"/>
        <w:rPr>
          <w:rFonts w:hint="eastAsia" w:ascii="宋体" w:hAnsi="宋体" w:eastAsia="宋体" w:cs="宋体"/>
          <w:bCs/>
          <w:color w:val="auto"/>
          <w:sz w:val="21"/>
          <w:szCs w:val="21"/>
          <w:highlight w:val="none"/>
          <w:lang w:val="en-US" w:eastAsia="zh-CN"/>
        </w:rPr>
      </w:pPr>
    </w:p>
    <w:p w14:paraId="2529522B">
      <w:pPr>
        <w:ind w:firstLine="420"/>
        <w:rPr>
          <w:rFonts w:hint="eastAsia" w:ascii="宋体" w:hAnsi="宋体" w:eastAsia="宋体" w:cs="宋体"/>
          <w:bCs/>
          <w:color w:val="auto"/>
          <w:sz w:val="21"/>
          <w:szCs w:val="21"/>
          <w:highlight w:val="none"/>
          <w:lang w:val="en-US" w:eastAsia="zh-CN"/>
        </w:rPr>
      </w:pPr>
    </w:p>
    <w:p w14:paraId="312CAD50">
      <w:pPr>
        <w:pStyle w:val="2"/>
        <w:rPr>
          <w:color w:val="auto"/>
          <w:highlight w:val="none"/>
        </w:rPr>
      </w:pPr>
      <w:bookmarkStart w:id="24" w:name="_Toc19267"/>
      <w:bookmarkStart w:id="25" w:name="_Toc23340"/>
      <w:r>
        <w:rPr>
          <w:rFonts w:hint="eastAsia"/>
          <w:color w:val="auto"/>
          <w:highlight w:val="none"/>
        </w:rPr>
        <w:t xml:space="preserve">第二章 </w:t>
      </w:r>
      <w:r>
        <w:rPr>
          <w:rFonts w:hint="eastAsia"/>
          <w:color w:val="auto"/>
          <w:highlight w:val="none"/>
          <w:lang w:eastAsia="zh-CN"/>
        </w:rPr>
        <w:t>投标人</w:t>
      </w:r>
      <w:r>
        <w:rPr>
          <w:rFonts w:hint="eastAsia"/>
          <w:color w:val="auto"/>
          <w:highlight w:val="none"/>
        </w:rPr>
        <w:t>须知</w:t>
      </w:r>
      <w:bookmarkEnd w:id="24"/>
      <w:bookmarkEnd w:id="25"/>
    </w:p>
    <w:p w14:paraId="57971942">
      <w:pPr>
        <w:ind w:firstLine="0" w:firstLineChars="0"/>
        <w:jc w:val="center"/>
        <w:rPr>
          <w:b/>
          <w:color w:val="auto"/>
          <w:kern w:val="0"/>
          <w:sz w:val="24"/>
          <w:szCs w:val="28"/>
          <w:highlight w:val="none"/>
        </w:rPr>
      </w:pPr>
      <w:r>
        <w:rPr>
          <w:rFonts w:hint="eastAsia"/>
          <w:b/>
          <w:color w:val="auto"/>
          <w:kern w:val="0"/>
          <w:sz w:val="24"/>
          <w:szCs w:val="28"/>
          <w:highlight w:val="none"/>
          <w:lang w:eastAsia="zh-CN"/>
        </w:rPr>
        <w:t>投标人</w:t>
      </w:r>
      <w:r>
        <w:rPr>
          <w:rFonts w:hint="eastAsia"/>
          <w:b/>
          <w:color w:val="auto"/>
          <w:kern w:val="0"/>
          <w:sz w:val="24"/>
          <w:szCs w:val="28"/>
          <w:highlight w:val="none"/>
        </w:rPr>
        <w:t>须知前附表</w:t>
      </w:r>
    </w:p>
    <w:tbl>
      <w:tblPr>
        <w:tblStyle w:val="16"/>
        <w:tblW w:w="9673" w:type="dxa"/>
        <w:jc w:val="center"/>
        <w:tblLayout w:type="fixed"/>
        <w:tblCellMar>
          <w:top w:w="0" w:type="dxa"/>
          <w:left w:w="108" w:type="dxa"/>
          <w:bottom w:w="0" w:type="dxa"/>
          <w:right w:w="108" w:type="dxa"/>
        </w:tblCellMar>
      </w:tblPr>
      <w:tblGrid>
        <w:gridCol w:w="1015"/>
        <w:gridCol w:w="2137"/>
        <w:gridCol w:w="6521"/>
      </w:tblGrid>
      <w:tr w14:paraId="506D10AD">
        <w:tblPrEx>
          <w:tblCellMar>
            <w:top w:w="0" w:type="dxa"/>
            <w:left w:w="108" w:type="dxa"/>
            <w:bottom w:w="0" w:type="dxa"/>
            <w:right w:w="108" w:type="dxa"/>
          </w:tblCellMar>
        </w:tblPrEx>
        <w:trPr>
          <w:trHeight w:val="567" w:hRule="atLeast"/>
          <w:tblHeader/>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4FBB4499">
            <w:pPr>
              <w:autoSpaceDE w:val="0"/>
              <w:autoSpaceDN w:val="0"/>
              <w:spacing w:line="360" w:lineRule="auto"/>
              <w:ind w:firstLine="0" w:firstLineChars="0"/>
              <w:jc w:val="center"/>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序号</w:t>
            </w:r>
          </w:p>
        </w:tc>
        <w:tc>
          <w:tcPr>
            <w:tcW w:w="2137" w:type="dxa"/>
            <w:tcBorders>
              <w:top w:val="single" w:color="auto" w:sz="4" w:space="0"/>
              <w:left w:val="single" w:color="auto" w:sz="4" w:space="0"/>
              <w:bottom w:val="single" w:color="auto" w:sz="4" w:space="0"/>
              <w:right w:val="single" w:color="auto" w:sz="4" w:space="0"/>
            </w:tcBorders>
            <w:noWrap w:val="0"/>
            <w:vAlign w:val="center"/>
          </w:tcPr>
          <w:p w14:paraId="68D70395">
            <w:pPr>
              <w:autoSpaceDE w:val="0"/>
              <w:autoSpaceDN w:val="0"/>
              <w:spacing w:line="360" w:lineRule="auto"/>
              <w:ind w:firstLine="0" w:firstLineChars="0"/>
              <w:jc w:val="center"/>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条 款 名 称</w:t>
            </w:r>
          </w:p>
        </w:tc>
        <w:tc>
          <w:tcPr>
            <w:tcW w:w="6521" w:type="dxa"/>
            <w:tcBorders>
              <w:top w:val="single" w:color="auto" w:sz="4" w:space="0"/>
              <w:left w:val="single" w:color="auto" w:sz="4" w:space="0"/>
              <w:bottom w:val="single" w:color="auto" w:sz="4" w:space="0"/>
              <w:right w:val="single" w:color="auto" w:sz="4" w:space="0"/>
            </w:tcBorders>
            <w:noWrap w:val="0"/>
            <w:vAlign w:val="center"/>
          </w:tcPr>
          <w:p w14:paraId="70B3B4D0">
            <w:pPr>
              <w:autoSpaceDE w:val="0"/>
              <w:autoSpaceDN w:val="0"/>
              <w:spacing w:line="360" w:lineRule="auto"/>
              <w:ind w:firstLine="0" w:firstLineChars="0"/>
              <w:jc w:val="center"/>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编 列 内 容</w:t>
            </w:r>
          </w:p>
        </w:tc>
      </w:tr>
      <w:tr w14:paraId="6BF767B3">
        <w:tblPrEx>
          <w:tblCellMar>
            <w:top w:w="0" w:type="dxa"/>
            <w:left w:w="108" w:type="dxa"/>
            <w:bottom w:w="0" w:type="dxa"/>
            <w:right w:w="108" w:type="dxa"/>
          </w:tblCellMar>
        </w:tblPrEx>
        <w:trPr>
          <w:trHeight w:val="567" w:hRule="atLeas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3B4C9BED">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1.1.2</w:t>
            </w:r>
          </w:p>
        </w:tc>
        <w:tc>
          <w:tcPr>
            <w:tcW w:w="2137" w:type="dxa"/>
            <w:tcBorders>
              <w:top w:val="single" w:color="auto" w:sz="4" w:space="0"/>
              <w:left w:val="single" w:color="auto" w:sz="4" w:space="0"/>
              <w:bottom w:val="single" w:color="auto" w:sz="4" w:space="0"/>
              <w:right w:val="single" w:color="auto" w:sz="4" w:space="0"/>
            </w:tcBorders>
            <w:noWrap w:val="0"/>
            <w:vAlign w:val="center"/>
          </w:tcPr>
          <w:p w14:paraId="6E76B107">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采购人</w:t>
            </w:r>
          </w:p>
        </w:tc>
        <w:tc>
          <w:tcPr>
            <w:tcW w:w="6521" w:type="dxa"/>
            <w:tcBorders>
              <w:top w:val="single" w:color="auto" w:sz="4" w:space="0"/>
              <w:left w:val="single" w:color="auto" w:sz="4" w:space="0"/>
              <w:bottom w:val="single" w:color="auto" w:sz="4" w:space="0"/>
              <w:right w:val="single" w:color="auto" w:sz="4" w:space="0"/>
            </w:tcBorders>
            <w:noWrap w:val="0"/>
            <w:vAlign w:val="center"/>
          </w:tcPr>
          <w:p w14:paraId="6291FF79">
            <w:pPr>
              <w:autoSpaceDN w:val="0"/>
              <w:spacing w:line="360" w:lineRule="auto"/>
              <w:ind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名称：</w:t>
            </w:r>
            <w:r>
              <w:rPr>
                <w:rFonts w:hint="eastAsia" w:ascii="宋体" w:hAnsi="宋体" w:eastAsia="宋体" w:cs="宋体"/>
                <w:color w:val="auto"/>
                <w:sz w:val="24"/>
                <w:szCs w:val="24"/>
                <w:highlight w:val="none"/>
                <w:lang w:eastAsia="zh-CN"/>
              </w:rPr>
              <w:t>扶余市卫生健康局（扶余市中医院管理局）</w:t>
            </w:r>
          </w:p>
          <w:p w14:paraId="651181F3">
            <w:pPr>
              <w:autoSpaceDN w:val="0"/>
              <w:spacing w:line="360" w:lineRule="auto"/>
              <w:ind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地址：吉林省松原市扶余市春华路1055号</w:t>
            </w:r>
          </w:p>
          <w:p w14:paraId="05824619">
            <w:pPr>
              <w:autoSpaceDN w:val="0"/>
              <w:spacing w:line="360" w:lineRule="auto"/>
              <w:ind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联系人：</w:t>
            </w:r>
            <w:r>
              <w:rPr>
                <w:rFonts w:hint="eastAsia" w:cs="Times New Roman"/>
                <w:color w:val="auto"/>
                <w:sz w:val="24"/>
                <w:szCs w:val="24"/>
                <w:highlight w:val="none"/>
                <w:lang w:val="en-US" w:eastAsia="zh-CN"/>
              </w:rPr>
              <w:t>刘先生</w:t>
            </w:r>
          </w:p>
          <w:p w14:paraId="295B3100">
            <w:pPr>
              <w:autoSpaceDN w:val="0"/>
              <w:spacing w:line="360" w:lineRule="auto"/>
              <w:ind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联系方式：</w:t>
            </w:r>
            <w:r>
              <w:rPr>
                <w:rFonts w:hint="eastAsia" w:ascii="宋体" w:hAnsi="Times New Roman" w:eastAsia="宋体" w:cs="Times New Roman"/>
                <w:color w:val="auto"/>
                <w:sz w:val="24"/>
                <w:szCs w:val="24"/>
                <w:highlight w:val="none"/>
              </w:rPr>
              <w:t>0438</w:t>
            </w:r>
            <w:r>
              <w:rPr>
                <w:rFonts w:hint="eastAsia" w:cs="Times New Roman"/>
                <w:color w:val="auto"/>
                <w:sz w:val="24"/>
                <w:szCs w:val="24"/>
                <w:highlight w:val="none"/>
                <w:lang w:val="en-US" w:eastAsia="zh-CN"/>
              </w:rPr>
              <w:t>-</w:t>
            </w:r>
            <w:r>
              <w:rPr>
                <w:rFonts w:hint="eastAsia" w:ascii="宋体" w:hAnsi="Times New Roman" w:eastAsia="宋体" w:cs="Times New Roman"/>
                <w:color w:val="auto"/>
                <w:sz w:val="24"/>
                <w:szCs w:val="24"/>
                <w:highlight w:val="none"/>
              </w:rPr>
              <w:t>5865238</w:t>
            </w:r>
          </w:p>
        </w:tc>
      </w:tr>
      <w:tr w14:paraId="480EB442">
        <w:tblPrEx>
          <w:tblCellMar>
            <w:top w:w="0" w:type="dxa"/>
            <w:left w:w="108" w:type="dxa"/>
            <w:bottom w:w="0" w:type="dxa"/>
            <w:right w:w="108" w:type="dxa"/>
          </w:tblCellMar>
        </w:tblPrEx>
        <w:trPr>
          <w:trHeight w:val="567" w:hRule="atLeas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02B5685A">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1.1.3</w:t>
            </w:r>
          </w:p>
        </w:tc>
        <w:tc>
          <w:tcPr>
            <w:tcW w:w="2137" w:type="dxa"/>
            <w:tcBorders>
              <w:top w:val="single" w:color="auto" w:sz="4" w:space="0"/>
              <w:left w:val="single" w:color="auto" w:sz="4" w:space="0"/>
              <w:bottom w:val="single" w:color="auto" w:sz="4" w:space="0"/>
              <w:right w:val="single" w:color="auto" w:sz="4" w:space="0"/>
            </w:tcBorders>
            <w:noWrap w:val="0"/>
            <w:vAlign w:val="center"/>
          </w:tcPr>
          <w:p w14:paraId="3BD259A5">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采购代理机构</w:t>
            </w:r>
          </w:p>
        </w:tc>
        <w:tc>
          <w:tcPr>
            <w:tcW w:w="6521" w:type="dxa"/>
            <w:tcBorders>
              <w:top w:val="single" w:color="auto" w:sz="4" w:space="0"/>
              <w:left w:val="single" w:color="auto" w:sz="4" w:space="0"/>
              <w:bottom w:val="single" w:color="auto" w:sz="4" w:space="0"/>
              <w:right w:val="single" w:color="auto" w:sz="4" w:space="0"/>
            </w:tcBorders>
            <w:noWrap w:val="0"/>
            <w:vAlign w:val="center"/>
          </w:tcPr>
          <w:p w14:paraId="3750C45B">
            <w:pPr>
              <w:spacing w:line="360" w:lineRule="auto"/>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名称：</w:t>
            </w:r>
            <w:r>
              <w:rPr>
                <w:rFonts w:hint="eastAsia" w:ascii="宋体" w:hAnsi="宋体" w:eastAsia="宋体" w:cs="宋体"/>
                <w:bCs/>
                <w:color w:val="auto"/>
                <w:sz w:val="24"/>
                <w:szCs w:val="24"/>
                <w:highlight w:val="none"/>
              </w:rPr>
              <w:t>吉林省博翔工程咨询有限公司</w:t>
            </w:r>
          </w:p>
          <w:p w14:paraId="1FF7F85C">
            <w:pPr>
              <w:autoSpaceDN w:val="0"/>
              <w:spacing w:line="360" w:lineRule="auto"/>
              <w:ind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地址：</w:t>
            </w:r>
            <w:r>
              <w:rPr>
                <w:rFonts w:hint="eastAsia" w:ascii="宋体" w:hAnsi="宋体" w:eastAsia="宋体" w:cs="宋体"/>
                <w:bCs/>
                <w:color w:val="auto"/>
                <w:sz w:val="24"/>
                <w:szCs w:val="24"/>
                <w:highlight w:val="none"/>
              </w:rPr>
              <w:t>长春市高新区超越大街946号联东U谷信息科技产业园U4栋</w:t>
            </w:r>
          </w:p>
          <w:p w14:paraId="6A5BD122">
            <w:pPr>
              <w:spacing w:line="360" w:lineRule="auto"/>
              <w:ind w:left="0" w:leftChars="0"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联系人：</w:t>
            </w:r>
            <w:r>
              <w:rPr>
                <w:rFonts w:hint="eastAsia" w:ascii="宋体" w:hAnsi="宋体" w:eastAsia="宋体" w:cs="宋体"/>
                <w:bCs/>
                <w:color w:val="auto"/>
                <w:sz w:val="24"/>
                <w:szCs w:val="24"/>
                <w:highlight w:val="none"/>
              </w:rPr>
              <w:t>刘悦婷</w:t>
            </w:r>
          </w:p>
          <w:p w14:paraId="21752D12">
            <w:pPr>
              <w:autoSpaceDN w:val="0"/>
              <w:spacing w:line="360" w:lineRule="auto"/>
              <w:ind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电话：</w:t>
            </w:r>
            <w:r>
              <w:rPr>
                <w:rFonts w:hint="eastAsia" w:ascii="宋体" w:hAnsi="宋体" w:eastAsia="宋体" w:cs="宋体"/>
                <w:bCs/>
                <w:color w:val="auto"/>
                <w:sz w:val="24"/>
                <w:szCs w:val="24"/>
                <w:highlight w:val="none"/>
              </w:rPr>
              <w:t>13194360826</w:t>
            </w:r>
            <w:r>
              <w:rPr>
                <w:rFonts w:hint="eastAsia" w:ascii="宋体" w:hAnsi="宋体" w:eastAsia="宋体" w:cs="宋体"/>
                <w:color w:val="auto"/>
                <w:sz w:val="24"/>
                <w:szCs w:val="24"/>
                <w:highlight w:val="none"/>
              </w:rPr>
              <w:t>3</w:t>
            </w:r>
          </w:p>
        </w:tc>
      </w:tr>
      <w:tr w14:paraId="5A9E3719">
        <w:tblPrEx>
          <w:tblCellMar>
            <w:top w:w="0" w:type="dxa"/>
            <w:left w:w="108" w:type="dxa"/>
            <w:bottom w:w="0" w:type="dxa"/>
            <w:right w:w="108" w:type="dxa"/>
          </w:tblCellMar>
        </w:tblPrEx>
        <w:trPr>
          <w:trHeight w:val="567" w:hRule="atLeas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7BD281B4">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1.1.4</w:t>
            </w:r>
          </w:p>
        </w:tc>
        <w:tc>
          <w:tcPr>
            <w:tcW w:w="2137" w:type="dxa"/>
            <w:tcBorders>
              <w:top w:val="single" w:color="auto" w:sz="4" w:space="0"/>
              <w:left w:val="single" w:color="auto" w:sz="4" w:space="0"/>
              <w:bottom w:val="single" w:color="auto" w:sz="4" w:space="0"/>
              <w:right w:val="single" w:color="auto" w:sz="4" w:space="0"/>
            </w:tcBorders>
            <w:noWrap w:val="0"/>
            <w:vAlign w:val="center"/>
          </w:tcPr>
          <w:p w14:paraId="35563356">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项目名称及编号</w:t>
            </w:r>
          </w:p>
        </w:tc>
        <w:tc>
          <w:tcPr>
            <w:tcW w:w="6521" w:type="dxa"/>
            <w:tcBorders>
              <w:top w:val="single" w:color="auto" w:sz="4" w:space="0"/>
              <w:left w:val="single" w:color="auto" w:sz="4" w:space="0"/>
              <w:bottom w:val="single" w:color="auto" w:sz="4" w:space="0"/>
              <w:right w:val="single" w:color="auto" w:sz="4" w:space="0"/>
            </w:tcBorders>
            <w:noWrap w:val="0"/>
            <w:vAlign w:val="center"/>
          </w:tcPr>
          <w:p w14:paraId="462D298B">
            <w:pPr>
              <w:pStyle w:val="4"/>
              <w:spacing w:line="360" w:lineRule="auto"/>
              <w:ind w:firstLine="0" w:firstLineChars="0"/>
              <w:rPr>
                <w:rFonts w:hint="eastAsia" w:ascii="宋体" w:hAnsi="宋体" w:eastAsia="宋体" w:cs="宋体"/>
                <w:bCs/>
                <w:color w:val="auto"/>
                <w:kern w:val="21"/>
                <w:sz w:val="24"/>
                <w:szCs w:val="24"/>
                <w:highlight w:val="none"/>
                <w:lang w:val="en-US" w:eastAsia="zh-CN"/>
              </w:rPr>
            </w:pPr>
            <w:r>
              <w:rPr>
                <w:rFonts w:hint="eastAsia" w:ascii="宋体" w:hAnsi="宋体" w:eastAsia="宋体" w:cs="宋体"/>
                <w:bCs/>
                <w:color w:val="auto"/>
                <w:kern w:val="21"/>
                <w:sz w:val="24"/>
                <w:szCs w:val="24"/>
                <w:highlight w:val="none"/>
                <w:lang w:val="en-US" w:eastAsia="zh-CN"/>
              </w:rPr>
              <w:t>项目名称：2026年冬季扶余市乡镇卫生院取暖燃料生物质颗粒采购项目</w:t>
            </w:r>
          </w:p>
          <w:p w14:paraId="4E0421D6">
            <w:pPr>
              <w:pStyle w:val="4"/>
              <w:spacing w:line="360" w:lineRule="auto"/>
              <w:ind w:firstLine="0" w:firstLineChars="0"/>
              <w:rPr>
                <w:rFonts w:hint="eastAsia" w:ascii="宋体" w:hAnsi="宋体" w:eastAsia="宋体" w:cs="宋体"/>
                <w:color w:val="auto"/>
                <w:kern w:val="21"/>
                <w:sz w:val="24"/>
                <w:szCs w:val="24"/>
                <w:highlight w:val="none"/>
                <w:lang w:val="en-US" w:eastAsia="zh-CN"/>
              </w:rPr>
            </w:pPr>
            <w:r>
              <w:rPr>
                <w:rFonts w:hint="eastAsia" w:ascii="宋体" w:hAnsi="宋体" w:eastAsia="宋体" w:cs="宋体"/>
                <w:bCs/>
                <w:color w:val="auto"/>
                <w:kern w:val="21"/>
                <w:sz w:val="24"/>
                <w:szCs w:val="24"/>
                <w:highlight w:val="none"/>
                <w:lang w:val="en-US" w:eastAsia="zh-CN"/>
              </w:rPr>
              <w:t>项目编号：采购计划-[2026]-00106号-BX20260929</w:t>
            </w:r>
          </w:p>
        </w:tc>
      </w:tr>
      <w:tr w14:paraId="79627F50">
        <w:tblPrEx>
          <w:tblCellMar>
            <w:top w:w="0" w:type="dxa"/>
            <w:left w:w="108" w:type="dxa"/>
            <w:bottom w:w="0" w:type="dxa"/>
            <w:right w:w="108" w:type="dxa"/>
          </w:tblCellMar>
        </w:tblPrEx>
        <w:trPr>
          <w:trHeight w:val="538" w:hRule="atLeas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3E8CF95C">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1.1.5</w:t>
            </w:r>
          </w:p>
        </w:tc>
        <w:tc>
          <w:tcPr>
            <w:tcW w:w="2137" w:type="dxa"/>
            <w:tcBorders>
              <w:top w:val="single" w:color="auto" w:sz="4" w:space="0"/>
              <w:left w:val="single" w:color="auto" w:sz="4" w:space="0"/>
              <w:bottom w:val="single" w:color="auto" w:sz="4" w:space="0"/>
              <w:right w:val="single" w:color="auto" w:sz="4" w:space="0"/>
            </w:tcBorders>
            <w:noWrap w:val="0"/>
            <w:vAlign w:val="center"/>
          </w:tcPr>
          <w:p w14:paraId="22160981">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供货地点</w:t>
            </w:r>
          </w:p>
        </w:tc>
        <w:tc>
          <w:tcPr>
            <w:tcW w:w="6521" w:type="dxa"/>
            <w:tcBorders>
              <w:top w:val="single" w:color="auto" w:sz="4" w:space="0"/>
              <w:left w:val="single" w:color="auto" w:sz="4" w:space="0"/>
              <w:bottom w:val="single" w:color="auto" w:sz="4" w:space="0"/>
              <w:right w:val="single" w:color="auto" w:sz="4" w:space="0"/>
            </w:tcBorders>
            <w:noWrap w:val="0"/>
            <w:vAlign w:val="center"/>
          </w:tcPr>
          <w:p w14:paraId="0C57554B">
            <w:pPr>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扶余市辖区内各乡镇卫生院（共15个</w:t>
            </w:r>
            <w:r>
              <w:rPr>
                <w:rFonts w:hint="eastAsia" w:hAnsi="宋体" w:cs="宋体"/>
                <w:bCs/>
                <w:color w:val="auto"/>
                <w:sz w:val="24"/>
                <w:szCs w:val="24"/>
                <w:highlight w:val="none"/>
                <w:lang w:val="en-US" w:eastAsia="zh-CN"/>
              </w:rPr>
              <w:t>卫生院</w:t>
            </w:r>
            <w:r>
              <w:rPr>
                <w:rFonts w:hint="eastAsia" w:ascii="宋体" w:hAnsi="宋体" w:eastAsia="宋体" w:cs="宋体"/>
                <w:bCs/>
                <w:color w:val="auto"/>
                <w:sz w:val="24"/>
                <w:szCs w:val="24"/>
                <w:highlight w:val="none"/>
              </w:rPr>
              <w:t>，</w:t>
            </w:r>
            <w:r>
              <w:rPr>
                <w:rFonts w:hint="eastAsia" w:hAnsi="宋体" w:cs="宋体"/>
                <w:bCs/>
                <w:color w:val="auto"/>
                <w:sz w:val="24"/>
                <w:szCs w:val="24"/>
                <w:highlight w:val="none"/>
                <w:lang w:val="en-US" w:eastAsia="zh-CN"/>
              </w:rPr>
              <w:t>详见采购需求</w:t>
            </w:r>
            <w:r>
              <w:rPr>
                <w:rFonts w:hint="eastAsia" w:ascii="宋体" w:hAnsi="宋体" w:eastAsia="宋体" w:cs="宋体"/>
                <w:bCs/>
                <w:color w:val="auto"/>
                <w:sz w:val="24"/>
                <w:szCs w:val="24"/>
                <w:highlight w:val="none"/>
              </w:rPr>
              <w:t>）</w:t>
            </w:r>
          </w:p>
        </w:tc>
      </w:tr>
      <w:tr w14:paraId="48F194D3">
        <w:tblPrEx>
          <w:tblCellMar>
            <w:top w:w="0" w:type="dxa"/>
            <w:left w:w="108" w:type="dxa"/>
            <w:bottom w:w="0" w:type="dxa"/>
            <w:right w:w="108" w:type="dxa"/>
          </w:tblCellMar>
        </w:tblPrEx>
        <w:trPr>
          <w:trHeight w:val="567" w:hRule="atLeas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5E836F83">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1.2.1</w:t>
            </w:r>
          </w:p>
        </w:tc>
        <w:tc>
          <w:tcPr>
            <w:tcW w:w="2137" w:type="dxa"/>
            <w:tcBorders>
              <w:top w:val="single" w:color="auto" w:sz="4" w:space="0"/>
              <w:left w:val="single" w:color="auto" w:sz="4" w:space="0"/>
              <w:bottom w:val="single" w:color="auto" w:sz="4" w:space="0"/>
              <w:right w:val="single" w:color="auto" w:sz="4" w:space="0"/>
            </w:tcBorders>
            <w:noWrap w:val="0"/>
            <w:vAlign w:val="center"/>
          </w:tcPr>
          <w:p w14:paraId="1524557B">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资金来源</w:t>
            </w:r>
          </w:p>
        </w:tc>
        <w:tc>
          <w:tcPr>
            <w:tcW w:w="6521" w:type="dxa"/>
            <w:tcBorders>
              <w:top w:val="single" w:color="auto" w:sz="4" w:space="0"/>
              <w:left w:val="single" w:color="auto" w:sz="4" w:space="0"/>
              <w:bottom w:val="single" w:color="auto" w:sz="4" w:space="0"/>
              <w:right w:val="single" w:color="auto" w:sz="4" w:space="0"/>
            </w:tcBorders>
            <w:noWrap w:val="0"/>
            <w:vAlign w:val="center"/>
          </w:tcPr>
          <w:p w14:paraId="7E083EEA">
            <w:pPr>
              <w:autoSpaceDE w:val="0"/>
              <w:autoSpaceDN w:val="0"/>
              <w:spacing w:line="360" w:lineRule="auto"/>
              <w:ind w:firstLine="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财政资金</w:t>
            </w:r>
          </w:p>
        </w:tc>
      </w:tr>
      <w:tr w14:paraId="4A200482">
        <w:tblPrEx>
          <w:tblCellMar>
            <w:top w:w="0" w:type="dxa"/>
            <w:left w:w="108" w:type="dxa"/>
            <w:bottom w:w="0" w:type="dxa"/>
            <w:right w:w="108" w:type="dxa"/>
          </w:tblCellMar>
        </w:tblPrEx>
        <w:trPr>
          <w:trHeight w:val="567" w:hRule="atLeas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7661176C">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1.2.2</w:t>
            </w:r>
          </w:p>
        </w:tc>
        <w:tc>
          <w:tcPr>
            <w:tcW w:w="2137" w:type="dxa"/>
            <w:tcBorders>
              <w:top w:val="single" w:color="auto" w:sz="4" w:space="0"/>
              <w:left w:val="single" w:color="auto" w:sz="4" w:space="0"/>
              <w:bottom w:val="single" w:color="auto" w:sz="4" w:space="0"/>
              <w:right w:val="single" w:color="auto" w:sz="4" w:space="0"/>
            </w:tcBorders>
            <w:noWrap w:val="0"/>
            <w:vAlign w:val="center"/>
          </w:tcPr>
          <w:p w14:paraId="0C81FCEB">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出资比例</w:t>
            </w:r>
          </w:p>
        </w:tc>
        <w:tc>
          <w:tcPr>
            <w:tcW w:w="6521" w:type="dxa"/>
            <w:tcBorders>
              <w:top w:val="single" w:color="auto" w:sz="4" w:space="0"/>
              <w:left w:val="single" w:color="auto" w:sz="4" w:space="0"/>
              <w:bottom w:val="single" w:color="auto" w:sz="4" w:space="0"/>
              <w:right w:val="single" w:color="auto" w:sz="4" w:space="0"/>
            </w:tcBorders>
            <w:noWrap w:val="0"/>
            <w:vAlign w:val="center"/>
          </w:tcPr>
          <w:p w14:paraId="22E47188">
            <w:pPr>
              <w:autoSpaceDE w:val="0"/>
              <w:autoSpaceDN w:val="0"/>
              <w:spacing w:line="360" w:lineRule="auto"/>
              <w:ind w:firstLine="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100%</w:t>
            </w:r>
          </w:p>
        </w:tc>
      </w:tr>
      <w:tr w14:paraId="37C6C294">
        <w:tblPrEx>
          <w:tblCellMar>
            <w:top w:w="0" w:type="dxa"/>
            <w:left w:w="108" w:type="dxa"/>
            <w:bottom w:w="0" w:type="dxa"/>
            <w:right w:w="108" w:type="dxa"/>
          </w:tblCellMar>
        </w:tblPrEx>
        <w:trPr>
          <w:trHeight w:val="567" w:hRule="atLeas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631986A4">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1.2.3</w:t>
            </w:r>
          </w:p>
        </w:tc>
        <w:tc>
          <w:tcPr>
            <w:tcW w:w="2137" w:type="dxa"/>
            <w:tcBorders>
              <w:top w:val="single" w:color="auto" w:sz="4" w:space="0"/>
              <w:left w:val="single" w:color="auto" w:sz="4" w:space="0"/>
              <w:bottom w:val="single" w:color="auto" w:sz="4" w:space="0"/>
              <w:right w:val="single" w:color="auto" w:sz="4" w:space="0"/>
            </w:tcBorders>
            <w:noWrap w:val="0"/>
            <w:vAlign w:val="center"/>
          </w:tcPr>
          <w:p w14:paraId="18B95EAD">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资金落实情况</w:t>
            </w:r>
          </w:p>
        </w:tc>
        <w:tc>
          <w:tcPr>
            <w:tcW w:w="6521" w:type="dxa"/>
            <w:tcBorders>
              <w:top w:val="single" w:color="auto" w:sz="4" w:space="0"/>
              <w:left w:val="single" w:color="auto" w:sz="4" w:space="0"/>
              <w:bottom w:val="single" w:color="auto" w:sz="4" w:space="0"/>
              <w:right w:val="single" w:color="auto" w:sz="4" w:space="0"/>
            </w:tcBorders>
            <w:noWrap w:val="0"/>
            <w:vAlign w:val="center"/>
          </w:tcPr>
          <w:p w14:paraId="6063FC89">
            <w:pPr>
              <w:autoSpaceDE w:val="0"/>
              <w:autoSpaceDN w:val="0"/>
              <w:spacing w:line="360" w:lineRule="auto"/>
              <w:ind w:firstLine="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已落实</w:t>
            </w:r>
          </w:p>
        </w:tc>
      </w:tr>
      <w:tr w14:paraId="0F92B24B">
        <w:tblPrEx>
          <w:tblCellMar>
            <w:top w:w="0" w:type="dxa"/>
            <w:left w:w="108" w:type="dxa"/>
            <w:bottom w:w="0" w:type="dxa"/>
            <w:right w:w="108" w:type="dxa"/>
          </w:tblCellMar>
        </w:tblPrEx>
        <w:trPr>
          <w:trHeight w:val="567" w:hRule="atLeas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5A78FCD3">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1.3.1</w:t>
            </w:r>
          </w:p>
        </w:tc>
        <w:tc>
          <w:tcPr>
            <w:tcW w:w="2137" w:type="dxa"/>
            <w:tcBorders>
              <w:top w:val="single" w:color="auto" w:sz="4" w:space="0"/>
              <w:left w:val="single" w:color="auto" w:sz="4" w:space="0"/>
              <w:bottom w:val="single" w:color="auto" w:sz="4" w:space="0"/>
              <w:right w:val="single" w:color="auto" w:sz="4" w:space="0"/>
            </w:tcBorders>
            <w:noWrap w:val="0"/>
            <w:vAlign w:val="center"/>
          </w:tcPr>
          <w:p w14:paraId="12D490FD">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采购内容</w:t>
            </w:r>
          </w:p>
        </w:tc>
        <w:tc>
          <w:tcPr>
            <w:tcW w:w="6521" w:type="dxa"/>
            <w:tcBorders>
              <w:top w:val="single" w:color="auto" w:sz="4" w:space="0"/>
              <w:left w:val="single" w:color="auto" w:sz="4" w:space="0"/>
              <w:bottom w:val="single" w:color="auto" w:sz="4" w:space="0"/>
              <w:right w:val="single" w:color="auto" w:sz="4" w:space="0"/>
            </w:tcBorders>
            <w:noWrap w:val="0"/>
            <w:vAlign w:val="center"/>
          </w:tcPr>
          <w:p w14:paraId="748E2BB0">
            <w:pPr>
              <w:autoSpaceDE w:val="0"/>
              <w:autoSpaceDN w:val="0"/>
              <w:spacing w:line="360" w:lineRule="auto"/>
              <w:ind w:firstLine="0" w:firstLineChars="0"/>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lang w:val="en-US" w:eastAsia="zh-CN"/>
              </w:rPr>
              <w:t>具体内容详见招标文件第五章采购需求</w:t>
            </w:r>
          </w:p>
        </w:tc>
      </w:tr>
      <w:tr w14:paraId="47787B09">
        <w:tblPrEx>
          <w:tblCellMar>
            <w:top w:w="0" w:type="dxa"/>
            <w:left w:w="108" w:type="dxa"/>
            <w:bottom w:w="0" w:type="dxa"/>
            <w:right w:w="108" w:type="dxa"/>
          </w:tblCellMar>
        </w:tblPrEx>
        <w:trPr>
          <w:trHeight w:val="567" w:hRule="atLeas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6912B810">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1.3.2</w:t>
            </w:r>
          </w:p>
        </w:tc>
        <w:tc>
          <w:tcPr>
            <w:tcW w:w="21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4601EB">
            <w:pPr>
              <w:autoSpaceDE w:val="0"/>
              <w:autoSpaceDN w:val="0"/>
              <w:spacing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合同履行期限</w:t>
            </w:r>
          </w:p>
          <w:p w14:paraId="7A8E5883">
            <w:pPr>
              <w:autoSpaceDE w:val="0"/>
              <w:autoSpaceDN w:val="0"/>
              <w:spacing w:line="360" w:lineRule="auto"/>
              <w:ind w:firstLine="0" w:firstLineChars="0"/>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供货期）</w:t>
            </w:r>
          </w:p>
        </w:tc>
        <w:tc>
          <w:tcPr>
            <w:tcW w:w="652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C26EDBB">
            <w:pPr>
              <w:autoSpaceDE w:val="0"/>
              <w:autoSpaceDN w:val="0"/>
              <w:spacing w:line="360" w:lineRule="auto"/>
              <w:ind w:firstLine="0" w:firstLineChars="0"/>
              <w:rPr>
                <w:rFonts w:hint="eastAsia" w:ascii="宋体" w:hAnsi="宋体" w:eastAsia="宋体" w:cs="宋体"/>
                <w:color w:val="auto"/>
                <w:sz w:val="24"/>
                <w:szCs w:val="24"/>
                <w:highlight w:val="none"/>
              </w:rPr>
            </w:pPr>
            <w:r>
              <w:rPr>
                <w:rFonts w:hint="eastAsia" w:hAnsi="宋体" w:cs="宋体"/>
                <w:color w:val="auto"/>
                <w:sz w:val="24"/>
                <w:szCs w:val="24"/>
                <w:highlight w:val="none"/>
                <w:lang w:val="en-US" w:eastAsia="zh-CN"/>
              </w:rPr>
              <w:t>签订合同后20天内完成，具体供货时间以合同约定为准</w:t>
            </w:r>
            <w:r>
              <w:rPr>
                <w:rFonts w:hint="eastAsia" w:ascii="宋体" w:hAnsi="宋体" w:eastAsia="宋体" w:cs="宋体"/>
                <w:color w:val="auto"/>
                <w:sz w:val="24"/>
                <w:szCs w:val="24"/>
                <w:highlight w:val="none"/>
              </w:rPr>
              <w:t>。</w:t>
            </w:r>
          </w:p>
        </w:tc>
      </w:tr>
      <w:tr w14:paraId="6DB6B2AC">
        <w:tblPrEx>
          <w:tblCellMar>
            <w:top w:w="0" w:type="dxa"/>
            <w:left w:w="108" w:type="dxa"/>
            <w:bottom w:w="0" w:type="dxa"/>
            <w:right w:w="108" w:type="dxa"/>
          </w:tblCellMar>
        </w:tblPrEx>
        <w:trPr>
          <w:trHeight w:val="567" w:hRule="atLeas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28E4BDC7">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1.3.3</w:t>
            </w:r>
          </w:p>
        </w:tc>
        <w:tc>
          <w:tcPr>
            <w:tcW w:w="21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37C808">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质量要求</w:t>
            </w:r>
          </w:p>
        </w:tc>
        <w:tc>
          <w:tcPr>
            <w:tcW w:w="652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8EC9D6">
            <w:pPr>
              <w:autoSpaceDE w:val="0"/>
              <w:autoSpaceDN w:val="0"/>
              <w:spacing w:line="360" w:lineRule="auto"/>
              <w:ind w:firstLine="0" w:firstLineChars="0"/>
              <w:rPr>
                <w:rFonts w:hint="eastAsia" w:ascii="宋体" w:hAnsi="宋体" w:eastAsia="宋体" w:cs="宋体"/>
                <w:color w:val="auto"/>
                <w:kern w:val="0"/>
                <w:sz w:val="24"/>
                <w:szCs w:val="24"/>
                <w:highlight w:val="none"/>
                <w:lang w:eastAsia="zh-CN"/>
              </w:rPr>
            </w:pPr>
            <w:r>
              <w:rPr>
                <w:rFonts w:hint="eastAsia" w:hAnsi="宋体" w:cs="宋体"/>
                <w:color w:val="auto"/>
                <w:sz w:val="24"/>
                <w:szCs w:val="24"/>
                <w:highlight w:val="none"/>
                <w:lang w:eastAsia="zh-CN"/>
              </w:rPr>
              <w:t>符合国家现行相关产品质量标准要求，产品质量合格</w:t>
            </w:r>
          </w:p>
        </w:tc>
      </w:tr>
      <w:tr w14:paraId="4ADA5170">
        <w:tblPrEx>
          <w:tblCellMar>
            <w:top w:w="0" w:type="dxa"/>
            <w:left w:w="108" w:type="dxa"/>
            <w:bottom w:w="0" w:type="dxa"/>
            <w:right w:w="108" w:type="dxa"/>
          </w:tblCellMar>
        </w:tblPrEx>
        <w:trPr>
          <w:trHeight w:val="567" w:hRule="atLeas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6A308562">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1.4.1</w:t>
            </w:r>
          </w:p>
        </w:tc>
        <w:tc>
          <w:tcPr>
            <w:tcW w:w="2137" w:type="dxa"/>
            <w:tcBorders>
              <w:top w:val="single" w:color="auto" w:sz="4" w:space="0"/>
              <w:left w:val="single" w:color="auto" w:sz="4" w:space="0"/>
              <w:bottom w:val="single" w:color="auto" w:sz="4" w:space="0"/>
              <w:right w:val="single" w:color="auto" w:sz="4" w:space="0"/>
            </w:tcBorders>
            <w:noWrap w:val="0"/>
            <w:vAlign w:val="center"/>
          </w:tcPr>
          <w:p w14:paraId="3B050166">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资质条件、能力和信誉</w:t>
            </w:r>
          </w:p>
        </w:tc>
        <w:tc>
          <w:tcPr>
            <w:tcW w:w="6521" w:type="dxa"/>
            <w:tcBorders>
              <w:top w:val="single" w:color="auto" w:sz="4" w:space="0"/>
              <w:left w:val="single" w:color="auto" w:sz="4" w:space="0"/>
              <w:bottom w:val="single" w:color="auto" w:sz="4" w:space="0"/>
              <w:right w:val="single" w:color="auto" w:sz="4" w:space="0"/>
            </w:tcBorders>
            <w:noWrap w:val="0"/>
            <w:vAlign w:val="center"/>
          </w:tcPr>
          <w:p w14:paraId="344250E0">
            <w:pPr>
              <w:spacing w:line="360" w:lineRule="auto"/>
              <w:ind w:firstLine="0" w:firstLineChars="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1.满足《中华人民共和国政府采购法》第二十二条和《中华人民共和国政府采购法实施条例》第十七条的规定；</w:t>
            </w:r>
          </w:p>
          <w:p w14:paraId="1C13A96E">
            <w:pPr>
              <w:spacing w:line="360" w:lineRule="auto"/>
              <w:ind w:firstLine="0" w:firstLineChars="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2.落实政府采购政策需满足的资格要求：本项目专门面向中小企业采购。</w:t>
            </w:r>
          </w:p>
          <w:p w14:paraId="4675D6D2">
            <w:pPr>
              <w:spacing w:line="360" w:lineRule="auto"/>
              <w:ind w:firstLine="0" w:firstLineChars="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2.1《政府采购促进中小企业发展管理办法》（财库[2020]46号）；</w:t>
            </w:r>
          </w:p>
          <w:p w14:paraId="58BA820B">
            <w:pPr>
              <w:spacing w:line="360" w:lineRule="auto"/>
              <w:ind w:firstLine="0" w:firstLineChars="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2.2《财政部司法部关于政府采购支持监狱企业发展有关问题的通知》（财库[2014]68号）；</w:t>
            </w:r>
          </w:p>
          <w:p w14:paraId="0B49327A">
            <w:pPr>
              <w:spacing w:line="360" w:lineRule="auto"/>
              <w:ind w:firstLine="0" w:firstLineChars="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2.3《关于促进残疾人就业政府采购政策的通知》（财库〔2017〕141号）；</w:t>
            </w:r>
          </w:p>
          <w:p w14:paraId="223EC029">
            <w:pPr>
              <w:spacing w:line="360" w:lineRule="auto"/>
              <w:ind w:firstLine="0" w:firstLineChars="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2.4《国务院办公厅关于建立政府强制采购节能产品制度的通知》（国办发[2007]51号）；</w:t>
            </w:r>
          </w:p>
          <w:p w14:paraId="7EE173A9">
            <w:pPr>
              <w:spacing w:line="360" w:lineRule="auto"/>
              <w:ind w:firstLine="0" w:firstLineChars="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2.5《环境标志产品政府采购实施意见》（财库[2006]90号）；</w:t>
            </w:r>
          </w:p>
          <w:p w14:paraId="75EF917D">
            <w:pPr>
              <w:spacing w:line="360" w:lineRule="auto"/>
              <w:ind w:firstLine="0" w:firstLineChars="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2.6《关于进一步加大政府采购支持中小企业力度的通知》财库〔2022〕19号文件等国家最新政策。</w:t>
            </w:r>
          </w:p>
          <w:p w14:paraId="185648A4">
            <w:pPr>
              <w:spacing w:line="360" w:lineRule="auto"/>
              <w:ind w:firstLine="0" w:firstLineChars="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3.本项目的特定资格要求：</w:t>
            </w:r>
          </w:p>
          <w:p w14:paraId="4F5AD202">
            <w:pPr>
              <w:spacing w:line="360" w:lineRule="auto"/>
              <w:ind w:firstLine="0" w:firstLineChars="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3.1</w:t>
            </w:r>
            <w:r>
              <w:rPr>
                <w:rFonts w:hint="eastAsia" w:ascii="宋体" w:hAnsi="宋体" w:eastAsia="宋体" w:cs="宋体"/>
                <w:bCs/>
                <w:color w:val="auto"/>
                <w:sz w:val="24"/>
                <w:szCs w:val="24"/>
                <w:highlight w:val="none"/>
                <w:lang w:eastAsia="zh-CN"/>
              </w:rPr>
              <w:t>投标人</w:t>
            </w:r>
            <w:r>
              <w:rPr>
                <w:rFonts w:hint="eastAsia" w:ascii="宋体" w:hAnsi="宋体" w:eastAsia="宋体" w:cs="宋体"/>
                <w:bCs/>
                <w:color w:val="auto"/>
                <w:sz w:val="24"/>
                <w:szCs w:val="24"/>
                <w:highlight w:val="none"/>
              </w:rPr>
              <w:t>须是在中国境内注册具有独立承担民事责任能力的法人或其他组织形式，具备有效的营业执照，具有履行合同所必需的设备和专业技术能力。</w:t>
            </w:r>
          </w:p>
          <w:p w14:paraId="06178FA8">
            <w:pPr>
              <w:spacing w:line="360" w:lineRule="auto"/>
              <w:ind w:firstLine="0" w:firstLineChars="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3.2</w:t>
            </w:r>
            <w:r>
              <w:rPr>
                <w:rFonts w:hint="eastAsia" w:ascii="宋体" w:hAnsi="宋体" w:eastAsia="宋体" w:cs="宋体"/>
                <w:bCs/>
                <w:color w:val="auto"/>
                <w:sz w:val="24"/>
                <w:szCs w:val="24"/>
                <w:highlight w:val="none"/>
                <w:lang w:eastAsia="zh-CN"/>
              </w:rPr>
              <w:t>投标人</w:t>
            </w:r>
            <w:r>
              <w:rPr>
                <w:rFonts w:hint="eastAsia" w:ascii="宋体" w:hAnsi="宋体" w:eastAsia="宋体" w:cs="宋体"/>
                <w:bCs/>
                <w:color w:val="auto"/>
                <w:sz w:val="24"/>
                <w:szCs w:val="24"/>
                <w:highlight w:val="none"/>
              </w:rPr>
              <w:t>参加采购活动应当提交反映其财务状况、依法缴纳税收和社保保障资金情况的资格条件承诺函。</w:t>
            </w:r>
          </w:p>
          <w:p w14:paraId="118138FA">
            <w:pPr>
              <w:spacing w:line="360" w:lineRule="auto"/>
              <w:ind w:firstLine="0" w:firstLineChars="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3.3不接受被政府列为取消投标资格期间内的企业或个人投标。</w:t>
            </w:r>
          </w:p>
          <w:p w14:paraId="768935C9">
            <w:pPr>
              <w:spacing w:line="360" w:lineRule="auto"/>
              <w:ind w:firstLine="0" w:firstLineChars="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3.4</w:t>
            </w:r>
            <w:r>
              <w:rPr>
                <w:rFonts w:hint="eastAsia" w:ascii="宋体" w:hAnsi="宋体" w:eastAsia="宋体" w:cs="宋体"/>
                <w:bCs/>
                <w:color w:val="auto"/>
                <w:sz w:val="24"/>
                <w:szCs w:val="24"/>
                <w:highlight w:val="none"/>
                <w:lang w:eastAsia="zh-CN"/>
              </w:rPr>
              <w:t>投标人</w:t>
            </w:r>
            <w:r>
              <w:rPr>
                <w:rFonts w:hint="eastAsia" w:ascii="宋体" w:hAnsi="宋体" w:eastAsia="宋体" w:cs="宋体"/>
                <w:bCs/>
                <w:color w:val="auto"/>
                <w:sz w:val="24"/>
                <w:szCs w:val="24"/>
                <w:highlight w:val="none"/>
              </w:rPr>
              <w:t>不得为“信用中国”网站（www.creditchina.gov.cn）中列入失信被执行人和重大税收违法失信主体名单</w:t>
            </w:r>
            <w:r>
              <w:rPr>
                <w:rFonts w:hint="eastAsia" w:ascii="宋体" w:hAnsi="宋体" w:eastAsia="宋体" w:cs="宋体"/>
                <w:bCs/>
                <w:color w:val="auto"/>
                <w:sz w:val="24"/>
                <w:szCs w:val="24"/>
                <w:highlight w:val="none"/>
                <w:lang w:val="en-US" w:eastAsia="zh-CN"/>
              </w:rPr>
              <w:t>的</w:t>
            </w:r>
            <w:r>
              <w:rPr>
                <w:rFonts w:hint="eastAsia" w:ascii="宋体" w:hAnsi="宋体" w:eastAsia="宋体" w:cs="宋体"/>
                <w:bCs/>
                <w:color w:val="auto"/>
                <w:sz w:val="24"/>
                <w:szCs w:val="24"/>
                <w:highlight w:val="none"/>
                <w:lang w:eastAsia="zh-CN"/>
              </w:rPr>
              <w:t>投标人</w:t>
            </w:r>
            <w:r>
              <w:rPr>
                <w:rFonts w:hint="eastAsia" w:ascii="宋体" w:hAnsi="宋体" w:eastAsia="宋体" w:cs="宋体"/>
                <w:bCs/>
                <w:color w:val="auto"/>
                <w:sz w:val="24"/>
                <w:szCs w:val="24"/>
                <w:highlight w:val="none"/>
              </w:rPr>
              <w:t>，不得为中国政府采购网（www.ccgp.gov.cn）政府采购严重违法失信行为记录名单中被财政部门禁止参加政府采购活动的</w:t>
            </w:r>
            <w:r>
              <w:rPr>
                <w:rFonts w:hint="eastAsia" w:ascii="宋体" w:hAnsi="宋体" w:eastAsia="宋体" w:cs="宋体"/>
                <w:bCs/>
                <w:color w:val="auto"/>
                <w:sz w:val="24"/>
                <w:szCs w:val="24"/>
                <w:highlight w:val="none"/>
                <w:lang w:eastAsia="zh-CN"/>
              </w:rPr>
              <w:t>投标人</w:t>
            </w:r>
            <w:r>
              <w:rPr>
                <w:rFonts w:hint="eastAsia" w:ascii="宋体" w:hAnsi="宋体" w:eastAsia="宋体" w:cs="宋体"/>
                <w:bCs/>
                <w:color w:val="auto"/>
                <w:sz w:val="24"/>
                <w:szCs w:val="24"/>
                <w:highlight w:val="none"/>
              </w:rPr>
              <w:t>（处罚决定规定的时间和地域范围内）。</w:t>
            </w:r>
          </w:p>
          <w:p w14:paraId="27DD2F74">
            <w:pPr>
              <w:spacing w:line="360" w:lineRule="auto"/>
              <w:ind w:firstLine="0" w:firstLineChars="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3.5与采购人存在利害关系可能影响招标公正性的法人、其他组织或者个人，不得参加投标。</w:t>
            </w:r>
          </w:p>
          <w:p w14:paraId="66A63E1A">
            <w:pPr>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3.6单位负责人为同一人或存在直接控股、管理关系的不同</w:t>
            </w:r>
            <w:r>
              <w:rPr>
                <w:rFonts w:hint="eastAsia" w:ascii="宋体" w:hAnsi="宋体" w:eastAsia="宋体" w:cs="宋体"/>
                <w:bCs/>
                <w:color w:val="auto"/>
                <w:sz w:val="24"/>
                <w:szCs w:val="24"/>
                <w:highlight w:val="none"/>
                <w:lang w:eastAsia="zh-CN"/>
              </w:rPr>
              <w:t>投标人</w:t>
            </w:r>
            <w:r>
              <w:rPr>
                <w:rFonts w:hint="eastAsia" w:ascii="宋体" w:hAnsi="宋体" w:eastAsia="宋体" w:cs="宋体"/>
                <w:bCs/>
                <w:color w:val="auto"/>
                <w:sz w:val="24"/>
                <w:szCs w:val="24"/>
                <w:highlight w:val="none"/>
              </w:rPr>
              <w:t>，不得参加同一合同项下的政府采购活动。</w:t>
            </w:r>
          </w:p>
        </w:tc>
      </w:tr>
      <w:tr w14:paraId="1CA63DEC">
        <w:tblPrEx>
          <w:tblCellMar>
            <w:top w:w="0" w:type="dxa"/>
            <w:left w:w="108" w:type="dxa"/>
            <w:bottom w:w="0" w:type="dxa"/>
            <w:right w:w="108" w:type="dxa"/>
          </w:tblCellMar>
        </w:tblPrEx>
        <w:trPr>
          <w:trHeight w:val="567" w:hRule="atLeas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4DE87D60">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1.4.2</w:t>
            </w:r>
          </w:p>
        </w:tc>
        <w:tc>
          <w:tcPr>
            <w:tcW w:w="2137" w:type="dxa"/>
            <w:tcBorders>
              <w:top w:val="single" w:color="auto" w:sz="4" w:space="0"/>
              <w:left w:val="single" w:color="auto" w:sz="4" w:space="0"/>
              <w:bottom w:val="single" w:color="auto" w:sz="4" w:space="0"/>
              <w:right w:val="single" w:color="auto" w:sz="4" w:space="0"/>
            </w:tcBorders>
            <w:noWrap w:val="0"/>
            <w:vAlign w:val="center"/>
          </w:tcPr>
          <w:p w14:paraId="1846B134">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是否接受联合体投标</w:t>
            </w:r>
          </w:p>
        </w:tc>
        <w:tc>
          <w:tcPr>
            <w:tcW w:w="6521" w:type="dxa"/>
            <w:tcBorders>
              <w:top w:val="single" w:color="auto" w:sz="4" w:space="0"/>
              <w:left w:val="single" w:color="auto" w:sz="4" w:space="0"/>
              <w:bottom w:val="single" w:color="auto" w:sz="4" w:space="0"/>
              <w:right w:val="single" w:color="auto" w:sz="4" w:space="0"/>
            </w:tcBorders>
            <w:noWrap w:val="0"/>
            <w:vAlign w:val="center"/>
          </w:tcPr>
          <w:p w14:paraId="433B89B1">
            <w:pPr>
              <w:autoSpaceDE w:val="0"/>
              <w:autoSpaceDN w:val="0"/>
              <w:spacing w:line="360" w:lineRule="auto"/>
              <w:ind w:firstLine="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不接受</w:t>
            </w:r>
          </w:p>
        </w:tc>
      </w:tr>
      <w:tr w14:paraId="1855AB46">
        <w:tblPrEx>
          <w:tblCellMar>
            <w:top w:w="0" w:type="dxa"/>
            <w:left w:w="108" w:type="dxa"/>
            <w:bottom w:w="0" w:type="dxa"/>
            <w:right w:w="108" w:type="dxa"/>
          </w:tblCellMar>
        </w:tblPrEx>
        <w:trPr>
          <w:trHeight w:val="567" w:hRule="atLeas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53AEE1B1">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1.9</w:t>
            </w:r>
          </w:p>
        </w:tc>
        <w:tc>
          <w:tcPr>
            <w:tcW w:w="2137" w:type="dxa"/>
            <w:tcBorders>
              <w:top w:val="single" w:color="auto" w:sz="4" w:space="0"/>
              <w:left w:val="single" w:color="auto" w:sz="4" w:space="0"/>
              <w:bottom w:val="single" w:color="auto" w:sz="4" w:space="0"/>
              <w:right w:val="single" w:color="auto" w:sz="4" w:space="0"/>
            </w:tcBorders>
            <w:noWrap w:val="0"/>
            <w:vAlign w:val="center"/>
          </w:tcPr>
          <w:p w14:paraId="513CE9F9">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踏勘现场及时间安排</w:t>
            </w:r>
          </w:p>
        </w:tc>
        <w:tc>
          <w:tcPr>
            <w:tcW w:w="6521" w:type="dxa"/>
            <w:tcBorders>
              <w:top w:val="single" w:color="auto" w:sz="4" w:space="0"/>
              <w:left w:val="single" w:color="auto" w:sz="4" w:space="0"/>
              <w:bottom w:val="single" w:color="auto" w:sz="4" w:space="0"/>
              <w:right w:val="single" w:color="auto" w:sz="4" w:space="0"/>
            </w:tcBorders>
            <w:noWrap w:val="0"/>
            <w:vAlign w:val="center"/>
          </w:tcPr>
          <w:p w14:paraId="6791D07C">
            <w:pPr>
              <w:autoSpaceDE w:val="0"/>
              <w:autoSpaceDN w:val="0"/>
              <w:spacing w:line="360" w:lineRule="auto"/>
              <w:ind w:firstLine="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不组织</w:t>
            </w:r>
          </w:p>
        </w:tc>
      </w:tr>
      <w:tr w14:paraId="689DF86A">
        <w:tblPrEx>
          <w:tblCellMar>
            <w:top w:w="0" w:type="dxa"/>
            <w:left w:w="108" w:type="dxa"/>
            <w:bottom w:w="0" w:type="dxa"/>
            <w:right w:w="108" w:type="dxa"/>
          </w:tblCellMar>
        </w:tblPrEx>
        <w:trPr>
          <w:trHeight w:val="567" w:hRule="atLeas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102573D8">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1.10.1</w:t>
            </w:r>
          </w:p>
        </w:tc>
        <w:tc>
          <w:tcPr>
            <w:tcW w:w="2137" w:type="dxa"/>
            <w:tcBorders>
              <w:top w:val="single" w:color="auto" w:sz="4" w:space="0"/>
              <w:left w:val="single" w:color="auto" w:sz="4" w:space="0"/>
              <w:bottom w:val="single" w:color="auto" w:sz="4" w:space="0"/>
              <w:right w:val="single" w:color="auto" w:sz="4" w:space="0"/>
            </w:tcBorders>
            <w:noWrap w:val="0"/>
            <w:vAlign w:val="center"/>
          </w:tcPr>
          <w:p w14:paraId="3D250041">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答疑会时间及地点</w:t>
            </w:r>
          </w:p>
        </w:tc>
        <w:tc>
          <w:tcPr>
            <w:tcW w:w="6521" w:type="dxa"/>
            <w:tcBorders>
              <w:top w:val="single" w:color="auto" w:sz="4" w:space="0"/>
              <w:left w:val="single" w:color="auto" w:sz="4" w:space="0"/>
              <w:bottom w:val="single" w:color="auto" w:sz="4" w:space="0"/>
              <w:right w:val="single" w:color="auto" w:sz="4" w:space="0"/>
            </w:tcBorders>
            <w:noWrap w:val="0"/>
            <w:vAlign w:val="center"/>
          </w:tcPr>
          <w:p w14:paraId="1FABD33D">
            <w:pPr>
              <w:autoSpaceDE w:val="0"/>
              <w:autoSpaceDN w:val="0"/>
              <w:spacing w:line="360" w:lineRule="auto"/>
              <w:ind w:firstLine="0" w:firstLineChars="0"/>
              <w:rPr>
                <w:rFonts w:hint="eastAsia" w:ascii="宋体" w:hAnsi="宋体" w:eastAsia="宋体" w:cs="宋体"/>
                <w:color w:val="auto"/>
                <w:spacing w:val="-20"/>
                <w:kern w:val="0"/>
                <w:sz w:val="24"/>
                <w:szCs w:val="24"/>
                <w:highlight w:val="none"/>
              </w:rPr>
            </w:pPr>
            <w:r>
              <w:rPr>
                <w:rFonts w:hint="eastAsia" w:ascii="宋体" w:hAnsi="宋体" w:eastAsia="宋体" w:cs="宋体"/>
                <w:color w:val="auto"/>
                <w:kern w:val="0"/>
                <w:sz w:val="24"/>
                <w:szCs w:val="24"/>
                <w:highlight w:val="none"/>
              </w:rPr>
              <w:t>不召开</w:t>
            </w:r>
          </w:p>
        </w:tc>
      </w:tr>
      <w:tr w14:paraId="0B4B5900">
        <w:tblPrEx>
          <w:tblCellMar>
            <w:top w:w="0" w:type="dxa"/>
            <w:left w:w="108" w:type="dxa"/>
            <w:bottom w:w="0" w:type="dxa"/>
            <w:right w:w="108" w:type="dxa"/>
          </w:tblCellMar>
        </w:tblPrEx>
        <w:trPr>
          <w:trHeight w:val="567" w:hRule="atLeas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02FB43FB">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1.10.2</w:t>
            </w:r>
          </w:p>
        </w:tc>
        <w:tc>
          <w:tcPr>
            <w:tcW w:w="2137" w:type="dxa"/>
            <w:tcBorders>
              <w:top w:val="single" w:color="auto" w:sz="4" w:space="0"/>
              <w:left w:val="single" w:color="auto" w:sz="4" w:space="0"/>
              <w:bottom w:val="single" w:color="auto" w:sz="4" w:space="0"/>
              <w:right w:val="single" w:color="auto" w:sz="4" w:space="0"/>
            </w:tcBorders>
            <w:noWrap w:val="0"/>
            <w:vAlign w:val="center"/>
          </w:tcPr>
          <w:p w14:paraId="79C84EEF">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提出问题的截止时间</w:t>
            </w:r>
          </w:p>
        </w:tc>
        <w:tc>
          <w:tcPr>
            <w:tcW w:w="6521" w:type="dxa"/>
            <w:tcBorders>
              <w:top w:val="single" w:color="auto" w:sz="4" w:space="0"/>
              <w:left w:val="single" w:color="auto" w:sz="4" w:space="0"/>
              <w:bottom w:val="single" w:color="auto" w:sz="4" w:space="0"/>
              <w:right w:val="single" w:color="auto" w:sz="4" w:space="0"/>
            </w:tcBorders>
            <w:noWrap w:val="0"/>
            <w:vAlign w:val="center"/>
          </w:tcPr>
          <w:p w14:paraId="2E8DAD6B">
            <w:pPr>
              <w:autoSpaceDE w:val="0"/>
              <w:autoSpaceDN w:val="0"/>
              <w:spacing w:line="360" w:lineRule="auto"/>
              <w:ind w:firstLine="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投标截止时间前1</w:t>
            </w: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天以书面形式一次性提出。将所提问题递交到招标公司。同时将问题扫描件发送至招标公司指定邮箱</w:t>
            </w:r>
          </w:p>
          <w:p w14:paraId="1847B541">
            <w:pPr>
              <w:autoSpaceDE w:val="0"/>
              <w:autoSpaceDN w:val="0"/>
              <w:spacing w:line="360" w:lineRule="auto"/>
              <w:ind w:firstLine="0" w:firstLineChars="0"/>
              <w:rPr>
                <w:rFonts w:hint="eastAsia" w:ascii="宋体" w:hAnsi="宋体" w:eastAsia="宋体" w:cs="宋体"/>
                <w:color w:val="auto"/>
                <w:kern w:val="0"/>
                <w:sz w:val="24"/>
                <w:szCs w:val="24"/>
                <w:highlight w:val="none"/>
                <w:lang w:val="zh-CN"/>
              </w:rPr>
            </w:pPr>
            <w:r>
              <w:rPr>
                <w:rFonts w:hint="eastAsia" w:ascii="宋体" w:hAnsi="宋体" w:eastAsia="宋体" w:cs="宋体"/>
                <w:color w:val="auto"/>
                <w:kern w:val="0"/>
                <w:sz w:val="24"/>
                <w:szCs w:val="24"/>
                <w:highlight w:val="none"/>
              </w:rPr>
              <w:t>Bxgc2016@163.com。邮箱：</w:t>
            </w:r>
            <w:r>
              <w:rPr>
                <w:rFonts w:hint="eastAsia" w:ascii="宋体" w:hAnsi="宋体" w:eastAsia="宋体" w:cs="宋体"/>
                <w:color w:val="auto"/>
                <w:kern w:val="0"/>
                <w:sz w:val="24"/>
                <w:szCs w:val="24"/>
                <w:highlight w:val="none"/>
                <w:lang w:val="zh-CN"/>
              </w:rPr>
              <w:t>要求：用A4纸打印，一式三份，并加盖公章，格式应符合政府采购相关管理办法规定。</w:t>
            </w:r>
          </w:p>
          <w:p w14:paraId="006CDF90">
            <w:pPr>
              <w:autoSpaceDE w:val="0"/>
              <w:autoSpaceDN w:val="0"/>
              <w:spacing w:line="360" w:lineRule="auto"/>
              <w:ind w:firstLine="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zh-CN"/>
              </w:rPr>
              <w:t>若投标人未按规定提交投标疑问，则视为其无疑问。</w:t>
            </w:r>
          </w:p>
        </w:tc>
      </w:tr>
      <w:tr w14:paraId="26675390">
        <w:tblPrEx>
          <w:tblCellMar>
            <w:top w:w="0" w:type="dxa"/>
            <w:left w:w="108" w:type="dxa"/>
            <w:bottom w:w="0" w:type="dxa"/>
            <w:right w:w="108" w:type="dxa"/>
          </w:tblCellMar>
        </w:tblPrEx>
        <w:trPr>
          <w:trHeight w:val="567" w:hRule="atLeas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0A8AA087">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1.10.3</w:t>
            </w:r>
          </w:p>
        </w:tc>
        <w:tc>
          <w:tcPr>
            <w:tcW w:w="2137" w:type="dxa"/>
            <w:tcBorders>
              <w:top w:val="single" w:color="auto" w:sz="4" w:space="0"/>
              <w:left w:val="single" w:color="auto" w:sz="4" w:space="0"/>
              <w:bottom w:val="single" w:color="auto" w:sz="4" w:space="0"/>
              <w:right w:val="single" w:color="auto" w:sz="4" w:space="0"/>
            </w:tcBorders>
            <w:noWrap w:val="0"/>
            <w:vAlign w:val="center"/>
          </w:tcPr>
          <w:p w14:paraId="4B22DF38">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采购人澄清的时间</w:t>
            </w:r>
          </w:p>
        </w:tc>
        <w:tc>
          <w:tcPr>
            <w:tcW w:w="6521" w:type="dxa"/>
            <w:tcBorders>
              <w:top w:val="single" w:color="auto" w:sz="4" w:space="0"/>
              <w:left w:val="single" w:color="auto" w:sz="4" w:space="0"/>
              <w:bottom w:val="single" w:color="auto" w:sz="4" w:space="0"/>
              <w:right w:val="single" w:color="auto" w:sz="4" w:space="0"/>
            </w:tcBorders>
            <w:noWrap w:val="0"/>
            <w:vAlign w:val="center"/>
          </w:tcPr>
          <w:p w14:paraId="0F184AAF">
            <w:pPr>
              <w:autoSpaceDE w:val="0"/>
              <w:autoSpaceDN w:val="0"/>
              <w:spacing w:line="360" w:lineRule="auto"/>
              <w:ind w:firstLine="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投标截止时间15日前，招标文件的澄清、修改将在“政采云”平台网站上发布，所有报名并下载招标文件的</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 xml:space="preserve">自行网上查询。 </w:t>
            </w:r>
          </w:p>
        </w:tc>
      </w:tr>
      <w:tr w14:paraId="3AB4CD04">
        <w:tblPrEx>
          <w:tblCellMar>
            <w:top w:w="0" w:type="dxa"/>
            <w:left w:w="108" w:type="dxa"/>
            <w:bottom w:w="0" w:type="dxa"/>
            <w:right w:w="108" w:type="dxa"/>
          </w:tblCellMar>
        </w:tblPrEx>
        <w:trPr>
          <w:trHeight w:val="567" w:hRule="atLeas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521C005C">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1.11</w:t>
            </w:r>
          </w:p>
        </w:tc>
        <w:tc>
          <w:tcPr>
            <w:tcW w:w="2137" w:type="dxa"/>
            <w:tcBorders>
              <w:top w:val="single" w:color="auto" w:sz="4" w:space="0"/>
              <w:left w:val="single" w:color="auto" w:sz="4" w:space="0"/>
              <w:bottom w:val="single" w:color="auto" w:sz="4" w:space="0"/>
              <w:right w:val="single" w:color="auto" w:sz="4" w:space="0"/>
            </w:tcBorders>
            <w:noWrap w:val="0"/>
            <w:vAlign w:val="center"/>
          </w:tcPr>
          <w:p w14:paraId="5F70D3D3">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分包</w:t>
            </w:r>
          </w:p>
        </w:tc>
        <w:tc>
          <w:tcPr>
            <w:tcW w:w="6521" w:type="dxa"/>
            <w:tcBorders>
              <w:top w:val="single" w:color="auto" w:sz="4" w:space="0"/>
              <w:left w:val="single" w:color="auto" w:sz="4" w:space="0"/>
              <w:bottom w:val="single" w:color="auto" w:sz="4" w:space="0"/>
              <w:right w:val="single" w:color="auto" w:sz="4" w:space="0"/>
            </w:tcBorders>
            <w:noWrap w:val="0"/>
            <w:vAlign w:val="center"/>
          </w:tcPr>
          <w:p w14:paraId="250DD4D7">
            <w:pPr>
              <w:autoSpaceDE w:val="0"/>
              <w:autoSpaceDN w:val="0"/>
              <w:spacing w:line="360" w:lineRule="auto"/>
              <w:ind w:firstLine="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不允许</w:t>
            </w:r>
          </w:p>
        </w:tc>
      </w:tr>
      <w:tr w14:paraId="27BC674C">
        <w:tblPrEx>
          <w:tblCellMar>
            <w:top w:w="0" w:type="dxa"/>
            <w:left w:w="108" w:type="dxa"/>
            <w:bottom w:w="0" w:type="dxa"/>
            <w:right w:w="108" w:type="dxa"/>
          </w:tblCellMar>
        </w:tblPrEx>
        <w:trPr>
          <w:trHeight w:val="567" w:hRule="atLeas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7622840A">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3.1</w:t>
            </w:r>
          </w:p>
        </w:tc>
        <w:tc>
          <w:tcPr>
            <w:tcW w:w="2137" w:type="dxa"/>
            <w:tcBorders>
              <w:top w:val="single" w:color="auto" w:sz="4" w:space="0"/>
              <w:left w:val="single" w:color="auto" w:sz="4" w:space="0"/>
              <w:bottom w:val="single" w:color="auto" w:sz="4" w:space="0"/>
              <w:right w:val="single" w:color="auto" w:sz="4" w:space="0"/>
            </w:tcBorders>
            <w:noWrap w:val="0"/>
            <w:vAlign w:val="center"/>
          </w:tcPr>
          <w:p w14:paraId="09DA7263">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构成投标文件的其他材料</w:t>
            </w:r>
          </w:p>
        </w:tc>
        <w:tc>
          <w:tcPr>
            <w:tcW w:w="6521" w:type="dxa"/>
            <w:tcBorders>
              <w:top w:val="single" w:color="auto" w:sz="4" w:space="0"/>
              <w:left w:val="single" w:color="auto" w:sz="4" w:space="0"/>
              <w:bottom w:val="single" w:color="auto" w:sz="4" w:space="0"/>
              <w:right w:val="single" w:color="auto" w:sz="4" w:space="0"/>
            </w:tcBorders>
            <w:noWrap w:val="0"/>
            <w:vAlign w:val="center"/>
          </w:tcPr>
          <w:p w14:paraId="3C05D7B3">
            <w:pPr>
              <w:autoSpaceDE w:val="0"/>
              <w:autoSpaceDN w:val="0"/>
              <w:spacing w:line="360" w:lineRule="auto"/>
              <w:ind w:firstLine="0" w:firstLineChars="0"/>
              <w:rPr>
                <w:rFonts w:hint="eastAsia" w:ascii="宋体" w:hAnsi="宋体" w:eastAsia="宋体" w:cs="宋体"/>
                <w:b/>
                <w:color w:val="auto"/>
                <w:kern w:val="0"/>
                <w:sz w:val="24"/>
                <w:szCs w:val="24"/>
                <w:highlight w:val="none"/>
              </w:rPr>
            </w:pPr>
            <w:r>
              <w:rPr>
                <w:rFonts w:hint="eastAsia" w:ascii="宋体" w:hAnsi="宋体" w:eastAsia="宋体" w:cs="宋体"/>
                <w:b w:val="0"/>
                <w:bCs w:val="0"/>
                <w:color w:val="auto"/>
                <w:kern w:val="0"/>
                <w:sz w:val="24"/>
                <w:szCs w:val="24"/>
                <w:highlight w:val="none"/>
              </w:rPr>
              <w:t>无</w:t>
            </w:r>
          </w:p>
        </w:tc>
      </w:tr>
      <w:tr w14:paraId="616A2302">
        <w:tblPrEx>
          <w:tblCellMar>
            <w:top w:w="0" w:type="dxa"/>
            <w:left w:w="108" w:type="dxa"/>
            <w:bottom w:w="0" w:type="dxa"/>
            <w:right w:w="108" w:type="dxa"/>
          </w:tblCellMar>
        </w:tblPrEx>
        <w:trPr>
          <w:trHeight w:val="567" w:hRule="atLeast"/>
          <w:jc w:val="center"/>
        </w:trPr>
        <w:tc>
          <w:tcPr>
            <w:tcW w:w="1015" w:type="dxa"/>
            <w:tcBorders>
              <w:left w:val="single" w:color="auto" w:sz="4" w:space="0"/>
              <w:bottom w:val="single" w:color="auto" w:sz="4" w:space="0"/>
              <w:right w:val="single" w:color="auto" w:sz="4" w:space="0"/>
            </w:tcBorders>
            <w:noWrap w:val="0"/>
            <w:vAlign w:val="center"/>
          </w:tcPr>
          <w:p w14:paraId="01FB5536">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3.2</w:t>
            </w:r>
          </w:p>
        </w:tc>
        <w:tc>
          <w:tcPr>
            <w:tcW w:w="2137" w:type="dxa"/>
            <w:tcBorders>
              <w:left w:val="single" w:color="auto" w:sz="4" w:space="0"/>
              <w:bottom w:val="single" w:color="auto" w:sz="4" w:space="0"/>
              <w:right w:val="single" w:color="auto" w:sz="4" w:space="0"/>
            </w:tcBorders>
            <w:noWrap w:val="0"/>
            <w:vAlign w:val="center"/>
          </w:tcPr>
          <w:p w14:paraId="14E32BFE">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投标有效期</w:t>
            </w:r>
          </w:p>
        </w:tc>
        <w:tc>
          <w:tcPr>
            <w:tcW w:w="6521" w:type="dxa"/>
            <w:tcBorders>
              <w:left w:val="single" w:color="auto" w:sz="4" w:space="0"/>
              <w:bottom w:val="single" w:color="auto" w:sz="4" w:space="0"/>
              <w:right w:val="single" w:color="auto" w:sz="4" w:space="0"/>
            </w:tcBorders>
            <w:noWrap w:val="0"/>
            <w:vAlign w:val="center"/>
          </w:tcPr>
          <w:p w14:paraId="621BAF5A">
            <w:pPr>
              <w:autoSpaceDE w:val="0"/>
              <w:autoSpaceDN w:val="0"/>
              <w:spacing w:line="360" w:lineRule="auto"/>
              <w:ind w:firstLine="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90天</w:t>
            </w:r>
          </w:p>
        </w:tc>
      </w:tr>
      <w:tr w14:paraId="76F30F48">
        <w:tblPrEx>
          <w:tblCellMar>
            <w:top w:w="0" w:type="dxa"/>
            <w:left w:w="108" w:type="dxa"/>
            <w:bottom w:w="0" w:type="dxa"/>
            <w:right w:w="108" w:type="dxa"/>
          </w:tblCellMar>
        </w:tblPrEx>
        <w:trPr>
          <w:trHeight w:val="567" w:hRule="atLeas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0122F9C4">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3.3</w:t>
            </w:r>
          </w:p>
        </w:tc>
        <w:tc>
          <w:tcPr>
            <w:tcW w:w="2137" w:type="dxa"/>
            <w:tcBorders>
              <w:top w:val="single" w:color="auto" w:sz="4" w:space="0"/>
              <w:left w:val="single" w:color="auto" w:sz="4" w:space="0"/>
              <w:bottom w:val="single" w:color="auto" w:sz="4" w:space="0"/>
              <w:right w:val="single" w:color="auto" w:sz="4" w:space="0"/>
            </w:tcBorders>
            <w:noWrap w:val="0"/>
            <w:vAlign w:val="center"/>
          </w:tcPr>
          <w:p w14:paraId="13605A9B">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投标保证金</w:t>
            </w:r>
          </w:p>
        </w:tc>
        <w:tc>
          <w:tcPr>
            <w:tcW w:w="6521" w:type="dxa"/>
            <w:tcBorders>
              <w:top w:val="single" w:color="auto" w:sz="4" w:space="0"/>
              <w:left w:val="single" w:color="auto" w:sz="4" w:space="0"/>
              <w:bottom w:val="single" w:color="auto" w:sz="4" w:space="0"/>
              <w:right w:val="single" w:color="auto" w:sz="4" w:space="0"/>
            </w:tcBorders>
            <w:noWrap w:val="0"/>
            <w:vAlign w:val="center"/>
          </w:tcPr>
          <w:p w14:paraId="2694BA04">
            <w:pPr>
              <w:spacing w:line="360" w:lineRule="auto"/>
              <w:ind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0"/>
                <w:sz w:val="24"/>
                <w:szCs w:val="24"/>
                <w:highlight w:val="none"/>
              </w:rPr>
              <w:t>根据《松原市优化提升营商环境建设60条》第43条规定，本项目预算金额在500万元以下，本项目不收取投标保证金。</w:t>
            </w:r>
          </w:p>
        </w:tc>
      </w:tr>
      <w:tr w14:paraId="212F373B">
        <w:tblPrEx>
          <w:tblCellMar>
            <w:top w:w="0" w:type="dxa"/>
            <w:left w:w="108" w:type="dxa"/>
            <w:bottom w:w="0" w:type="dxa"/>
            <w:right w:w="108" w:type="dxa"/>
          </w:tblCellMar>
        </w:tblPrEx>
        <w:trPr>
          <w:trHeight w:val="567" w:hRule="atLeas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30DCFE4E">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3.4</w:t>
            </w:r>
          </w:p>
        </w:tc>
        <w:tc>
          <w:tcPr>
            <w:tcW w:w="2137" w:type="dxa"/>
            <w:tcBorders>
              <w:top w:val="single" w:color="auto" w:sz="4" w:space="0"/>
              <w:left w:val="single" w:color="auto" w:sz="4" w:space="0"/>
              <w:bottom w:val="single" w:color="auto" w:sz="4" w:space="0"/>
              <w:right w:val="single" w:color="auto" w:sz="4" w:space="0"/>
            </w:tcBorders>
            <w:noWrap w:val="0"/>
            <w:vAlign w:val="center"/>
          </w:tcPr>
          <w:p w14:paraId="6AD666A9">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是否允许递交</w:t>
            </w:r>
          </w:p>
          <w:p w14:paraId="3F6CE7C7">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备选投标方案</w:t>
            </w:r>
          </w:p>
        </w:tc>
        <w:tc>
          <w:tcPr>
            <w:tcW w:w="6521" w:type="dxa"/>
            <w:tcBorders>
              <w:top w:val="single" w:color="auto" w:sz="4" w:space="0"/>
              <w:left w:val="single" w:color="auto" w:sz="4" w:space="0"/>
              <w:bottom w:val="single" w:color="auto" w:sz="4" w:space="0"/>
              <w:right w:val="single" w:color="auto" w:sz="4" w:space="0"/>
            </w:tcBorders>
            <w:noWrap w:val="0"/>
            <w:vAlign w:val="center"/>
          </w:tcPr>
          <w:p w14:paraId="44B7ACEA">
            <w:pPr>
              <w:autoSpaceDE w:val="0"/>
              <w:autoSpaceDN w:val="0"/>
              <w:spacing w:line="360" w:lineRule="auto"/>
              <w:ind w:firstLine="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不允许</w:t>
            </w:r>
          </w:p>
        </w:tc>
      </w:tr>
      <w:tr w14:paraId="4C0362C0">
        <w:tblPrEx>
          <w:tblCellMar>
            <w:top w:w="0" w:type="dxa"/>
            <w:left w:w="108" w:type="dxa"/>
            <w:bottom w:w="0" w:type="dxa"/>
            <w:right w:w="108" w:type="dxa"/>
          </w:tblCellMar>
        </w:tblPrEx>
        <w:trPr>
          <w:trHeight w:val="567" w:hRule="atLeas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04FFFBC3">
            <w:pPr>
              <w:wordWrap/>
              <w:spacing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3.5.2</w:t>
            </w:r>
          </w:p>
        </w:tc>
        <w:tc>
          <w:tcPr>
            <w:tcW w:w="2137" w:type="dxa"/>
            <w:tcBorders>
              <w:top w:val="single" w:color="auto" w:sz="4" w:space="0"/>
              <w:left w:val="single" w:color="auto" w:sz="4" w:space="0"/>
              <w:bottom w:val="single" w:color="auto" w:sz="4" w:space="0"/>
              <w:right w:val="single" w:color="auto" w:sz="4" w:space="0"/>
            </w:tcBorders>
            <w:noWrap w:val="0"/>
            <w:vAlign w:val="center"/>
          </w:tcPr>
          <w:p w14:paraId="20A3D826">
            <w:pPr>
              <w:wordWrap/>
              <w:spacing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近年财务状况的</w:t>
            </w:r>
          </w:p>
          <w:p w14:paraId="756B8713">
            <w:pPr>
              <w:wordWrap/>
              <w:spacing w:line="360" w:lineRule="auto"/>
              <w:ind w:firstLine="0" w:firstLineChars="0"/>
              <w:jc w:val="center"/>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年份要求</w:t>
            </w:r>
          </w:p>
        </w:tc>
        <w:tc>
          <w:tcPr>
            <w:tcW w:w="6521" w:type="dxa"/>
            <w:tcBorders>
              <w:top w:val="single" w:color="auto" w:sz="4" w:space="0"/>
              <w:left w:val="single" w:color="auto" w:sz="4" w:space="0"/>
              <w:bottom w:val="single" w:color="auto" w:sz="4" w:space="0"/>
              <w:right w:val="single" w:color="auto" w:sz="4" w:space="0"/>
            </w:tcBorders>
            <w:noWrap w:val="0"/>
            <w:vAlign w:val="center"/>
          </w:tcPr>
          <w:p w14:paraId="4EA82509">
            <w:pPr>
              <w:wordWrap/>
              <w:spacing w:line="360" w:lineRule="auto"/>
              <w:ind w:firstLine="0" w:firstLineChars="0"/>
              <w:rPr>
                <w:rFonts w:hint="eastAsia" w:ascii="宋体" w:hAnsi="宋体" w:eastAsia="宋体" w:cs="宋体"/>
                <w:color w:val="auto"/>
                <w:sz w:val="24"/>
                <w:szCs w:val="24"/>
                <w:highlight w:val="none"/>
                <w:lang w:val="en-US" w:eastAsia="zh-CN"/>
              </w:rPr>
            </w:pPr>
            <w:r>
              <w:rPr>
                <w:rFonts w:hint="eastAsia" w:hAnsi="宋体" w:cs="宋体"/>
                <w:color w:val="auto"/>
                <w:sz w:val="24"/>
                <w:szCs w:val="24"/>
                <w:highlight w:val="none"/>
                <w:lang w:val="en-US" w:eastAsia="zh-CN"/>
              </w:rPr>
              <w:t>无</w:t>
            </w:r>
          </w:p>
        </w:tc>
      </w:tr>
      <w:tr w14:paraId="6E70FCD5">
        <w:tblPrEx>
          <w:tblCellMar>
            <w:top w:w="0" w:type="dxa"/>
            <w:left w:w="108" w:type="dxa"/>
            <w:bottom w:w="0" w:type="dxa"/>
            <w:right w:w="108" w:type="dxa"/>
          </w:tblCellMar>
        </w:tblPrEx>
        <w:trPr>
          <w:trHeight w:val="567" w:hRule="atLeas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22576BE8">
            <w:pPr>
              <w:wordWrap/>
              <w:spacing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3.5.3</w:t>
            </w:r>
          </w:p>
        </w:tc>
        <w:tc>
          <w:tcPr>
            <w:tcW w:w="2137" w:type="dxa"/>
            <w:tcBorders>
              <w:top w:val="single" w:color="auto" w:sz="4" w:space="0"/>
              <w:left w:val="single" w:color="auto" w:sz="4" w:space="0"/>
              <w:bottom w:val="single" w:color="auto" w:sz="4" w:space="0"/>
              <w:right w:val="single" w:color="auto" w:sz="4" w:space="0"/>
            </w:tcBorders>
            <w:noWrap w:val="0"/>
            <w:vAlign w:val="center"/>
          </w:tcPr>
          <w:p w14:paraId="23079AA8">
            <w:pPr>
              <w:wordWrap/>
              <w:spacing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近年类似业绩的</w:t>
            </w:r>
          </w:p>
          <w:p w14:paraId="0E459D90">
            <w:pPr>
              <w:wordWrap/>
              <w:spacing w:line="360" w:lineRule="auto"/>
              <w:ind w:firstLine="0" w:firstLineChars="0"/>
              <w:jc w:val="center"/>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年份要求</w:t>
            </w:r>
          </w:p>
        </w:tc>
        <w:tc>
          <w:tcPr>
            <w:tcW w:w="6521" w:type="dxa"/>
            <w:tcBorders>
              <w:top w:val="single" w:color="auto" w:sz="4" w:space="0"/>
              <w:left w:val="single" w:color="auto" w:sz="4" w:space="0"/>
              <w:bottom w:val="single" w:color="auto" w:sz="4" w:space="0"/>
              <w:right w:val="single" w:color="auto" w:sz="4" w:space="0"/>
            </w:tcBorders>
            <w:noWrap w:val="0"/>
            <w:vAlign w:val="center"/>
          </w:tcPr>
          <w:p w14:paraId="4CAB673F">
            <w:pPr>
              <w:wordWrap/>
              <w:spacing w:line="360" w:lineRule="auto"/>
              <w:ind w:firstLine="0" w:firstLineChars="0"/>
              <w:rPr>
                <w:rFonts w:hint="eastAsia" w:ascii="宋体" w:hAnsi="宋体" w:eastAsia="宋体" w:cs="宋体"/>
                <w:color w:val="auto"/>
                <w:sz w:val="24"/>
                <w:szCs w:val="24"/>
                <w:highlight w:val="none"/>
                <w:lang w:val="zh-CN"/>
              </w:rPr>
            </w:pPr>
            <w:r>
              <w:rPr>
                <w:rFonts w:hint="eastAsia" w:ascii="宋体" w:hAnsi="宋体" w:eastAsia="宋体" w:cs="宋体"/>
                <w:color w:val="auto"/>
                <w:kern w:val="0"/>
                <w:sz w:val="24"/>
                <w:szCs w:val="24"/>
                <w:highlight w:val="none"/>
                <w:lang w:bidi="ar"/>
              </w:rPr>
              <w:t>202</w:t>
            </w:r>
            <w:r>
              <w:rPr>
                <w:rFonts w:hint="eastAsia" w:ascii="宋体" w:hAnsi="宋体" w:eastAsia="宋体" w:cs="宋体"/>
                <w:color w:val="auto"/>
                <w:kern w:val="0"/>
                <w:sz w:val="24"/>
                <w:szCs w:val="24"/>
                <w:highlight w:val="none"/>
                <w:lang w:val="en-US" w:eastAsia="zh-CN" w:bidi="ar"/>
              </w:rPr>
              <w:t>3</w:t>
            </w:r>
            <w:r>
              <w:rPr>
                <w:rFonts w:hint="eastAsia" w:ascii="宋体" w:hAnsi="宋体" w:eastAsia="宋体" w:cs="宋体"/>
                <w:color w:val="auto"/>
                <w:kern w:val="0"/>
                <w:sz w:val="24"/>
                <w:szCs w:val="24"/>
                <w:highlight w:val="none"/>
                <w:lang w:bidi="ar"/>
              </w:rPr>
              <w:t>年至今</w:t>
            </w:r>
          </w:p>
        </w:tc>
      </w:tr>
      <w:tr w14:paraId="5A44E2B5">
        <w:tblPrEx>
          <w:tblCellMar>
            <w:top w:w="0" w:type="dxa"/>
            <w:left w:w="108" w:type="dxa"/>
            <w:bottom w:w="0" w:type="dxa"/>
            <w:right w:w="108" w:type="dxa"/>
          </w:tblCellMar>
        </w:tblPrEx>
        <w:trPr>
          <w:trHeight w:val="567" w:hRule="atLeas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510F4BF1">
            <w:pPr>
              <w:pStyle w:val="21"/>
              <w:adjustRightInd/>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3.6</w:t>
            </w:r>
          </w:p>
        </w:tc>
        <w:tc>
          <w:tcPr>
            <w:tcW w:w="2137" w:type="dxa"/>
            <w:tcBorders>
              <w:top w:val="single" w:color="auto" w:sz="4" w:space="0"/>
              <w:left w:val="single" w:color="auto" w:sz="4" w:space="0"/>
              <w:bottom w:val="single" w:color="auto" w:sz="4" w:space="0"/>
              <w:right w:val="single" w:color="auto" w:sz="4" w:space="0"/>
            </w:tcBorders>
            <w:noWrap w:val="0"/>
            <w:vAlign w:val="center"/>
          </w:tcPr>
          <w:p w14:paraId="486B816A">
            <w:pPr>
              <w:wordWrap/>
              <w:spacing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是否允许递交备选</w:t>
            </w:r>
          </w:p>
          <w:p w14:paraId="09427C18">
            <w:pPr>
              <w:wordWrap/>
              <w:spacing w:line="360" w:lineRule="auto"/>
              <w:ind w:firstLine="0" w:firstLineChars="0"/>
              <w:jc w:val="center"/>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投标方案</w:t>
            </w:r>
          </w:p>
        </w:tc>
        <w:tc>
          <w:tcPr>
            <w:tcW w:w="6521" w:type="dxa"/>
            <w:tcBorders>
              <w:top w:val="single" w:color="auto" w:sz="4" w:space="0"/>
              <w:left w:val="single" w:color="auto" w:sz="4" w:space="0"/>
              <w:bottom w:val="single" w:color="auto" w:sz="4" w:space="0"/>
              <w:right w:val="single" w:color="auto" w:sz="4" w:space="0"/>
            </w:tcBorders>
            <w:noWrap w:val="0"/>
            <w:vAlign w:val="center"/>
          </w:tcPr>
          <w:p w14:paraId="7A9CBBB9">
            <w:pPr>
              <w:pStyle w:val="21"/>
              <w:adjustRightInd/>
              <w:spacing w:line="360" w:lineRule="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不允许</w:t>
            </w:r>
          </w:p>
        </w:tc>
      </w:tr>
      <w:tr w14:paraId="38A70D77">
        <w:tblPrEx>
          <w:tblCellMar>
            <w:top w:w="0" w:type="dxa"/>
            <w:left w:w="108" w:type="dxa"/>
            <w:bottom w:w="0" w:type="dxa"/>
            <w:right w:w="108" w:type="dxa"/>
          </w:tblCellMar>
        </w:tblPrEx>
        <w:trPr>
          <w:trHeight w:val="567" w:hRule="atLeas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5863A290">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3.7.3</w:t>
            </w:r>
          </w:p>
        </w:tc>
        <w:tc>
          <w:tcPr>
            <w:tcW w:w="2137" w:type="dxa"/>
            <w:tcBorders>
              <w:top w:val="single" w:color="auto" w:sz="4" w:space="0"/>
              <w:left w:val="single" w:color="auto" w:sz="4" w:space="0"/>
              <w:bottom w:val="single" w:color="auto" w:sz="4" w:space="0"/>
              <w:right w:val="single" w:color="auto" w:sz="4" w:space="0"/>
            </w:tcBorders>
            <w:noWrap w:val="0"/>
            <w:vAlign w:val="center"/>
          </w:tcPr>
          <w:p w14:paraId="4DBE243C">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签字或盖章要求</w:t>
            </w:r>
          </w:p>
        </w:tc>
        <w:tc>
          <w:tcPr>
            <w:tcW w:w="6521" w:type="dxa"/>
            <w:tcBorders>
              <w:top w:val="single" w:color="auto" w:sz="4" w:space="0"/>
              <w:left w:val="single" w:color="auto" w:sz="4" w:space="0"/>
              <w:bottom w:val="single" w:color="auto" w:sz="4" w:space="0"/>
              <w:right w:val="single" w:color="auto" w:sz="4" w:space="0"/>
            </w:tcBorders>
            <w:noWrap w:val="0"/>
            <w:vAlign w:val="center"/>
          </w:tcPr>
          <w:p w14:paraId="5DBC91FA">
            <w:pPr>
              <w:autoSpaceDE w:val="0"/>
              <w:autoSpaceDN w:val="0"/>
              <w:spacing w:line="360" w:lineRule="auto"/>
              <w:ind w:firstLine="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签字或盖章，符合招标文件规定。</w:t>
            </w:r>
          </w:p>
        </w:tc>
      </w:tr>
      <w:tr w14:paraId="3B69248D">
        <w:tblPrEx>
          <w:tblCellMar>
            <w:top w:w="0" w:type="dxa"/>
            <w:left w:w="108" w:type="dxa"/>
            <w:bottom w:w="0" w:type="dxa"/>
            <w:right w:w="108" w:type="dxa"/>
          </w:tblCellMar>
        </w:tblPrEx>
        <w:trPr>
          <w:trHeight w:val="567" w:hRule="atLeas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6B502C2A">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3.7.4</w:t>
            </w:r>
          </w:p>
        </w:tc>
        <w:tc>
          <w:tcPr>
            <w:tcW w:w="2137" w:type="dxa"/>
            <w:tcBorders>
              <w:top w:val="single" w:color="auto" w:sz="4" w:space="0"/>
              <w:left w:val="single" w:color="auto" w:sz="4" w:space="0"/>
              <w:bottom w:val="single" w:color="auto" w:sz="4" w:space="0"/>
              <w:right w:val="single" w:color="auto" w:sz="4" w:space="0"/>
            </w:tcBorders>
            <w:noWrap w:val="0"/>
            <w:vAlign w:val="center"/>
          </w:tcPr>
          <w:p w14:paraId="6B054A69">
            <w:pPr>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投标文件份数</w:t>
            </w:r>
          </w:p>
        </w:tc>
        <w:tc>
          <w:tcPr>
            <w:tcW w:w="6521" w:type="dxa"/>
            <w:tcBorders>
              <w:top w:val="single" w:color="auto" w:sz="4" w:space="0"/>
              <w:left w:val="single" w:color="auto" w:sz="4" w:space="0"/>
              <w:bottom w:val="single" w:color="auto" w:sz="4" w:space="0"/>
              <w:right w:val="single" w:color="auto" w:sz="4" w:space="0"/>
            </w:tcBorders>
            <w:noWrap w:val="0"/>
            <w:vAlign w:val="center"/>
          </w:tcPr>
          <w:p w14:paraId="0A91B050">
            <w:pPr>
              <w:autoSpaceDE w:val="0"/>
              <w:autoSpaceDN w:val="0"/>
              <w:spacing w:line="360" w:lineRule="auto"/>
              <w:ind w:firstLine="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本项目全流程电子标，以“政采云”平台系统要求为准。</w:t>
            </w:r>
          </w:p>
        </w:tc>
      </w:tr>
      <w:tr w14:paraId="1F27E545">
        <w:tblPrEx>
          <w:tblCellMar>
            <w:top w:w="0" w:type="dxa"/>
            <w:left w:w="108" w:type="dxa"/>
            <w:bottom w:w="0" w:type="dxa"/>
            <w:right w:w="108" w:type="dxa"/>
          </w:tblCellMar>
        </w:tblPrEx>
        <w:trPr>
          <w:trHeight w:val="567" w:hRule="atLeas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6CAE5A27">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4.2.1</w:t>
            </w:r>
          </w:p>
        </w:tc>
        <w:tc>
          <w:tcPr>
            <w:tcW w:w="2137" w:type="dxa"/>
            <w:tcBorders>
              <w:top w:val="single" w:color="auto" w:sz="4" w:space="0"/>
              <w:left w:val="single" w:color="auto" w:sz="4" w:space="0"/>
              <w:bottom w:val="single" w:color="auto" w:sz="4" w:space="0"/>
              <w:right w:val="single" w:color="auto" w:sz="4" w:space="0"/>
            </w:tcBorders>
            <w:noWrap w:val="0"/>
            <w:vAlign w:val="center"/>
          </w:tcPr>
          <w:p w14:paraId="295D886F">
            <w:pPr>
              <w:spacing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递交投标文件方式、地点</w:t>
            </w:r>
          </w:p>
        </w:tc>
        <w:tc>
          <w:tcPr>
            <w:tcW w:w="6521" w:type="dxa"/>
            <w:tcBorders>
              <w:top w:val="single" w:color="auto" w:sz="4" w:space="0"/>
              <w:left w:val="single" w:color="auto" w:sz="4" w:space="0"/>
              <w:bottom w:val="single" w:color="auto" w:sz="4" w:space="0"/>
              <w:right w:val="single" w:color="auto" w:sz="4" w:space="0"/>
            </w:tcBorders>
            <w:noWrap w:val="0"/>
            <w:vAlign w:val="center"/>
          </w:tcPr>
          <w:p w14:paraId="17BD9240">
            <w:pPr>
              <w:autoSpaceDE w:val="0"/>
              <w:autoSpaceDN w:val="0"/>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投标文件上传截止时间：</w:t>
            </w:r>
          </w:p>
          <w:p w14:paraId="02E78EE8">
            <w:pPr>
              <w:autoSpaceDE w:val="0"/>
              <w:autoSpaceDN w:val="0"/>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1.截止时间、开标时间：2026年10月</w:t>
            </w:r>
            <w:r>
              <w:rPr>
                <w:rFonts w:hint="eastAsia" w:hAnsi="宋体" w:cs="宋体"/>
                <w:color w:val="auto"/>
                <w:sz w:val="24"/>
                <w:szCs w:val="24"/>
                <w:highlight w:val="none"/>
                <w:lang w:val="en-US" w:eastAsia="zh-CN"/>
              </w:rPr>
              <w:t>23</w:t>
            </w:r>
            <w:r>
              <w:rPr>
                <w:rFonts w:hint="eastAsia" w:ascii="宋体" w:hAnsi="宋体" w:eastAsia="宋体" w:cs="宋体"/>
                <w:color w:val="auto"/>
                <w:sz w:val="24"/>
                <w:szCs w:val="24"/>
                <w:highlight w:val="none"/>
              </w:rPr>
              <w:t>日</w:t>
            </w:r>
            <w:r>
              <w:rPr>
                <w:rFonts w:hint="eastAsia" w:hAnsi="宋体" w:cs="宋体"/>
                <w:color w:val="auto"/>
                <w:sz w:val="24"/>
                <w:szCs w:val="24"/>
                <w:highlight w:val="none"/>
                <w:lang w:val="en-US" w:eastAsia="zh-CN"/>
              </w:rPr>
              <w:t>10</w:t>
            </w:r>
            <w:r>
              <w:rPr>
                <w:rFonts w:hint="eastAsia" w:ascii="宋体" w:hAnsi="宋体" w:eastAsia="宋体" w:cs="宋体"/>
                <w:color w:val="auto"/>
                <w:sz w:val="24"/>
                <w:szCs w:val="24"/>
                <w:highlight w:val="none"/>
              </w:rPr>
              <w:t>点00分。</w:t>
            </w:r>
          </w:p>
          <w:p w14:paraId="4E0162DD">
            <w:pPr>
              <w:autoSpaceDE w:val="0"/>
              <w:autoSpaceDN w:val="0"/>
              <w:spacing w:line="360" w:lineRule="auto"/>
              <w:ind w:firstLine="0" w:firstLineChars="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2.地点：吉林省松原市扶余</w:t>
            </w:r>
            <w:r>
              <w:rPr>
                <w:rFonts w:hint="eastAsia" w:ascii="宋体" w:hAnsi="宋体" w:eastAsia="宋体" w:cs="宋体"/>
                <w:color w:val="auto"/>
                <w:sz w:val="24"/>
                <w:szCs w:val="24"/>
                <w:highlight w:val="none"/>
                <w:lang w:val="en-US" w:eastAsia="zh-CN"/>
              </w:rPr>
              <w:t>市</w:t>
            </w:r>
            <w:r>
              <w:rPr>
                <w:rFonts w:hint="eastAsia" w:ascii="宋体" w:hAnsi="宋体" w:eastAsia="宋体" w:cs="宋体"/>
                <w:color w:val="auto"/>
                <w:sz w:val="24"/>
                <w:szCs w:val="24"/>
                <w:highlight w:val="none"/>
              </w:rPr>
              <w:t>扶余市公共资源交易中心六楼开标二室。</w:t>
            </w:r>
          </w:p>
          <w:p w14:paraId="08A33519">
            <w:pPr>
              <w:autoSpaceDE w:val="0"/>
              <w:autoSpaceDN w:val="0"/>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 xml:space="preserve">需在开标时间截止前将电子投标文件“政采云”平台（http://www.zcygov.cn）上直接上传； </w:t>
            </w:r>
          </w:p>
          <w:p w14:paraId="718C0998">
            <w:pPr>
              <w:autoSpaceDE w:val="0"/>
              <w:autoSpaceDN w:val="0"/>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 xml:space="preserve">.逾期未上传的投标文件，采购人不予受理。 </w:t>
            </w:r>
          </w:p>
        </w:tc>
      </w:tr>
      <w:tr w14:paraId="1ABA827F">
        <w:tblPrEx>
          <w:tblCellMar>
            <w:top w:w="0" w:type="dxa"/>
            <w:left w:w="108" w:type="dxa"/>
            <w:bottom w:w="0" w:type="dxa"/>
            <w:right w:w="108" w:type="dxa"/>
          </w:tblCellMar>
        </w:tblPrEx>
        <w:trPr>
          <w:trHeight w:val="567" w:hRule="atLeas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3C665739">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5.1</w:t>
            </w:r>
          </w:p>
        </w:tc>
        <w:tc>
          <w:tcPr>
            <w:tcW w:w="2137" w:type="dxa"/>
            <w:tcBorders>
              <w:top w:val="single" w:color="auto" w:sz="4" w:space="0"/>
              <w:left w:val="single" w:color="auto" w:sz="4" w:space="0"/>
              <w:bottom w:val="single" w:color="auto" w:sz="4" w:space="0"/>
              <w:right w:val="single" w:color="auto" w:sz="4" w:space="0"/>
            </w:tcBorders>
            <w:noWrap w:val="0"/>
            <w:vAlign w:val="center"/>
          </w:tcPr>
          <w:p w14:paraId="4D40855C">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开标时间和地点</w:t>
            </w:r>
          </w:p>
        </w:tc>
        <w:tc>
          <w:tcPr>
            <w:tcW w:w="6521" w:type="dxa"/>
            <w:tcBorders>
              <w:top w:val="single" w:color="auto" w:sz="4" w:space="0"/>
              <w:left w:val="single" w:color="auto" w:sz="4" w:space="0"/>
              <w:bottom w:val="single" w:color="auto" w:sz="4" w:space="0"/>
              <w:right w:val="single" w:color="auto" w:sz="4" w:space="0"/>
            </w:tcBorders>
            <w:noWrap w:val="0"/>
            <w:vAlign w:val="center"/>
          </w:tcPr>
          <w:p w14:paraId="194F60C1">
            <w:pPr>
              <w:autoSpaceDE w:val="0"/>
              <w:autoSpaceDN w:val="0"/>
              <w:spacing w:line="360" w:lineRule="auto"/>
              <w:ind w:firstLine="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开标时间：同投标文件递交截止时间</w:t>
            </w:r>
          </w:p>
          <w:p w14:paraId="09116BE0">
            <w:pPr>
              <w:autoSpaceDE w:val="0"/>
              <w:autoSpaceDN w:val="0"/>
              <w:spacing w:line="360" w:lineRule="auto"/>
              <w:ind w:firstLine="0" w:firstLineChars="0"/>
              <w:rPr>
                <w:rFonts w:hint="eastAsia" w:ascii="宋体" w:hAnsi="宋体" w:eastAsia="宋体" w:cs="宋体"/>
                <w:color w:val="auto"/>
                <w:sz w:val="24"/>
                <w:szCs w:val="24"/>
                <w:highlight w:val="none"/>
                <w:lang w:eastAsia="zh-CN"/>
              </w:rPr>
            </w:pPr>
            <w:r>
              <w:rPr>
                <w:rFonts w:hint="eastAsia" w:ascii="宋体" w:hAnsi="宋体" w:eastAsia="宋体" w:cs="宋体"/>
                <w:color w:val="auto"/>
                <w:kern w:val="0"/>
                <w:sz w:val="24"/>
                <w:szCs w:val="24"/>
                <w:highlight w:val="none"/>
              </w:rPr>
              <w:t>开标地点：</w:t>
            </w:r>
            <w:r>
              <w:rPr>
                <w:rFonts w:hint="eastAsia" w:ascii="宋体" w:hAnsi="宋体" w:eastAsia="宋体" w:cs="宋体"/>
                <w:color w:val="auto"/>
                <w:sz w:val="24"/>
                <w:szCs w:val="24"/>
                <w:highlight w:val="none"/>
              </w:rPr>
              <w:t>吉林省松原市</w:t>
            </w:r>
            <w:r>
              <w:rPr>
                <w:rFonts w:hint="eastAsia" w:ascii="宋体" w:hAnsi="宋体" w:eastAsia="宋体" w:cs="宋体"/>
                <w:color w:val="auto"/>
                <w:sz w:val="24"/>
                <w:szCs w:val="24"/>
                <w:highlight w:val="none"/>
                <w:lang w:eastAsia="zh-CN"/>
              </w:rPr>
              <w:t>扶余市</w:t>
            </w:r>
            <w:r>
              <w:rPr>
                <w:rFonts w:hint="eastAsia" w:ascii="宋体" w:hAnsi="宋体" w:eastAsia="宋体" w:cs="宋体"/>
                <w:color w:val="auto"/>
                <w:sz w:val="24"/>
                <w:szCs w:val="24"/>
                <w:highlight w:val="none"/>
              </w:rPr>
              <w:t>扶余市公共资源交易中心六楼开标二室</w:t>
            </w:r>
          </w:p>
        </w:tc>
      </w:tr>
      <w:tr w14:paraId="175064FB">
        <w:tblPrEx>
          <w:tblCellMar>
            <w:top w:w="0" w:type="dxa"/>
            <w:left w:w="108" w:type="dxa"/>
            <w:bottom w:w="0" w:type="dxa"/>
            <w:right w:w="108" w:type="dxa"/>
          </w:tblCellMar>
        </w:tblPrEx>
        <w:trPr>
          <w:trHeight w:val="567" w:hRule="atLeas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646EDE22">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5.2</w:t>
            </w:r>
          </w:p>
        </w:tc>
        <w:tc>
          <w:tcPr>
            <w:tcW w:w="2137" w:type="dxa"/>
            <w:tcBorders>
              <w:top w:val="single" w:color="auto" w:sz="4" w:space="0"/>
              <w:left w:val="single" w:color="auto" w:sz="4" w:space="0"/>
              <w:bottom w:val="single" w:color="auto" w:sz="4" w:space="0"/>
              <w:right w:val="single" w:color="auto" w:sz="4" w:space="0"/>
            </w:tcBorders>
            <w:noWrap w:val="0"/>
            <w:vAlign w:val="center"/>
          </w:tcPr>
          <w:p w14:paraId="0DBB3270">
            <w:pPr>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开标程序</w:t>
            </w:r>
          </w:p>
        </w:tc>
        <w:tc>
          <w:tcPr>
            <w:tcW w:w="6521" w:type="dxa"/>
            <w:tcBorders>
              <w:top w:val="single" w:color="auto" w:sz="4" w:space="0"/>
              <w:left w:val="single" w:color="auto" w:sz="4" w:space="0"/>
              <w:bottom w:val="single" w:color="auto" w:sz="4" w:space="0"/>
              <w:right w:val="single" w:color="auto" w:sz="4" w:space="0"/>
            </w:tcBorders>
            <w:noWrap w:val="0"/>
            <w:vAlign w:val="center"/>
          </w:tcPr>
          <w:p w14:paraId="41492153">
            <w:pPr>
              <w:autoSpaceDE w:val="0"/>
              <w:autoSpaceDN w:val="0"/>
              <w:spacing w:line="360" w:lineRule="auto"/>
              <w:ind w:firstLine="0" w:firstLineChars="0"/>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lang w:bidi="ar"/>
              </w:rPr>
              <w:t>按照系统的先后顺序当众开标，</w:t>
            </w:r>
            <w:r>
              <w:rPr>
                <w:rFonts w:hint="eastAsia" w:ascii="宋体" w:hAnsi="宋体" w:eastAsia="宋体" w:cs="宋体"/>
                <w:color w:val="auto"/>
                <w:sz w:val="24"/>
                <w:szCs w:val="24"/>
                <w:highlight w:val="none"/>
                <w:lang w:eastAsia="zh-CN" w:bidi="ar"/>
              </w:rPr>
              <w:t>投标人</w:t>
            </w:r>
            <w:r>
              <w:rPr>
                <w:rFonts w:hint="eastAsia" w:ascii="宋体" w:hAnsi="宋体" w:eastAsia="宋体" w:cs="宋体"/>
                <w:color w:val="auto"/>
                <w:sz w:val="24"/>
                <w:szCs w:val="24"/>
                <w:highlight w:val="none"/>
                <w:lang w:bidi="ar"/>
              </w:rPr>
              <w:t>只需按照系统提示进行解密，解密完成后自行查看各家报价情况等内容。具体开标情况以“政采云”平台实际为准。解密时间：</w:t>
            </w:r>
            <w:r>
              <w:rPr>
                <w:rFonts w:hint="eastAsia" w:ascii="宋体" w:hAnsi="宋体" w:eastAsia="宋体" w:cs="宋体"/>
                <w:color w:val="auto"/>
                <w:sz w:val="24"/>
                <w:szCs w:val="24"/>
                <w:highlight w:val="none"/>
                <w:lang w:val="en-US" w:eastAsia="zh-CN" w:bidi="ar"/>
              </w:rPr>
              <w:t>3</w:t>
            </w:r>
            <w:r>
              <w:rPr>
                <w:rFonts w:hint="eastAsia" w:ascii="宋体" w:hAnsi="宋体" w:eastAsia="宋体" w:cs="宋体"/>
                <w:color w:val="auto"/>
                <w:sz w:val="24"/>
                <w:szCs w:val="24"/>
                <w:highlight w:val="none"/>
                <w:lang w:bidi="ar"/>
              </w:rPr>
              <w:t>0分钟。</w:t>
            </w:r>
          </w:p>
        </w:tc>
      </w:tr>
      <w:tr w14:paraId="235467F3">
        <w:tblPrEx>
          <w:tblCellMar>
            <w:top w:w="0" w:type="dxa"/>
            <w:left w:w="108" w:type="dxa"/>
            <w:bottom w:w="0" w:type="dxa"/>
            <w:right w:w="108" w:type="dxa"/>
          </w:tblCellMar>
        </w:tblPrEx>
        <w:trPr>
          <w:trHeight w:val="567" w:hRule="atLeast"/>
          <w:jc w:val="center"/>
        </w:trPr>
        <w:tc>
          <w:tcPr>
            <w:tcW w:w="101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8052F5F">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6.1.1</w:t>
            </w:r>
          </w:p>
        </w:tc>
        <w:tc>
          <w:tcPr>
            <w:tcW w:w="21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000B313">
            <w:pPr>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评标委员会的组建</w:t>
            </w:r>
          </w:p>
        </w:tc>
        <w:tc>
          <w:tcPr>
            <w:tcW w:w="652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DA89CD6">
            <w:pPr>
              <w:spacing w:line="360" w:lineRule="auto"/>
              <w:ind w:firstLine="0" w:firstLineChars="0"/>
              <w:rPr>
                <w:rFonts w:hint="eastAsia" w:ascii="宋体" w:hAnsi="宋体" w:eastAsia="宋体" w:cs="宋体"/>
                <w:color w:val="auto"/>
                <w:kern w:val="0"/>
                <w:sz w:val="24"/>
                <w:szCs w:val="24"/>
                <w:highlight w:val="none"/>
              </w:rPr>
            </w:pPr>
            <w:r>
              <w:rPr>
                <w:rFonts w:ascii="宋体" w:hAnsi="宋体" w:eastAsia="宋体" w:cs="宋体"/>
                <w:color w:val="auto"/>
                <w:sz w:val="24"/>
                <w:szCs w:val="24"/>
                <w:highlight w:val="none"/>
              </w:rPr>
              <w:t>评标委员会构成：5人（其中专家4人从政采云专家库随机抽取，采购人代表1人）</w:t>
            </w:r>
          </w:p>
        </w:tc>
      </w:tr>
      <w:tr w14:paraId="527FE098">
        <w:tblPrEx>
          <w:tblCellMar>
            <w:top w:w="0" w:type="dxa"/>
            <w:left w:w="108" w:type="dxa"/>
            <w:bottom w:w="0" w:type="dxa"/>
            <w:right w:w="108" w:type="dxa"/>
          </w:tblCellMar>
        </w:tblPrEx>
        <w:trPr>
          <w:trHeight w:val="6234" w:hRule="atLeas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48A05E17">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6.3</w:t>
            </w:r>
          </w:p>
        </w:tc>
        <w:tc>
          <w:tcPr>
            <w:tcW w:w="2137" w:type="dxa"/>
            <w:tcBorders>
              <w:top w:val="single" w:color="auto" w:sz="4" w:space="0"/>
              <w:left w:val="single" w:color="auto" w:sz="4" w:space="0"/>
              <w:bottom w:val="single" w:color="auto" w:sz="4" w:space="0"/>
              <w:right w:val="single" w:color="auto" w:sz="4" w:space="0"/>
            </w:tcBorders>
            <w:noWrap w:val="0"/>
            <w:vAlign w:val="center"/>
          </w:tcPr>
          <w:p w14:paraId="3E257CCF">
            <w:pPr>
              <w:spacing w:line="360" w:lineRule="auto"/>
              <w:ind w:firstLine="0" w:firstLineChars="0"/>
              <w:jc w:val="center"/>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是否授权评标委员会确定</w:t>
            </w:r>
            <w:r>
              <w:rPr>
                <w:rFonts w:hint="eastAsia" w:ascii="宋体" w:hAnsi="宋体" w:eastAsia="宋体" w:cs="宋体"/>
                <w:color w:val="auto"/>
                <w:kern w:val="0"/>
                <w:sz w:val="24"/>
                <w:szCs w:val="24"/>
                <w:highlight w:val="none"/>
                <w:lang w:eastAsia="zh-CN"/>
              </w:rPr>
              <w:t>中标投标人</w:t>
            </w:r>
          </w:p>
        </w:tc>
        <w:tc>
          <w:tcPr>
            <w:tcW w:w="6521" w:type="dxa"/>
            <w:tcBorders>
              <w:top w:val="single" w:color="auto" w:sz="4" w:space="0"/>
              <w:left w:val="single" w:color="auto" w:sz="4" w:space="0"/>
              <w:bottom w:val="single" w:color="auto" w:sz="4" w:space="0"/>
              <w:right w:val="single" w:color="auto" w:sz="4" w:space="0"/>
            </w:tcBorders>
            <w:noWrap w:val="0"/>
            <w:vAlign w:val="center"/>
          </w:tcPr>
          <w:p w14:paraId="3B233C22">
            <w:pPr>
              <w:autoSpaceDE w:val="0"/>
              <w:autoSpaceDN w:val="0"/>
              <w:spacing w:line="360" w:lineRule="auto"/>
              <w:ind w:firstLine="0" w:firstLineChars="0"/>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bCs/>
                <w:color w:val="auto"/>
                <w:sz w:val="24"/>
                <w:szCs w:val="24"/>
                <w:highlight w:val="none"/>
              </w:rPr>
              <w:t>是，推荐的</w:t>
            </w:r>
            <w:r>
              <w:rPr>
                <w:rFonts w:hint="eastAsia" w:ascii="宋体" w:hAnsi="宋体" w:eastAsia="宋体" w:cs="宋体"/>
                <w:bCs/>
                <w:color w:val="auto"/>
                <w:sz w:val="24"/>
                <w:szCs w:val="24"/>
                <w:highlight w:val="none"/>
                <w:lang w:eastAsia="zh-CN"/>
              </w:rPr>
              <w:t>中标候选人</w:t>
            </w:r>
            <w:r>
              <w:rPr>
                <w:rFonts w:hint="eastAsia" w:ascii="宋体" w:hAnsi="宋体" w:eastAsia="宋体" w:cs="宋体"/>
                <w:bCs/>
                <w:color w:val="auto"/>
                <w:sz w:val="24"/>
                <w:szCs w:val="24"/>
                <w:highlight w:val="none"/>
              </w:rPr>
              <w:t>人数：</w:t>
            </w:r>
            <w:r>
              <w:rPr>
                <w:rFonts w:hint="eastAsia" w:ascii="宋体" w:hAnsi="宋体" w:eastAsia="宋体" w:cs="宋体"/>
                <w:bCs/>
                <w:color w:val="auto"/>
                <w:sz w:val="24"/>
                <w:szCs w:val="24"/>
                <w:highlight w:val="none"/>
                <w:u w:val="single"/>
              </w:rPr>
              <w:t>3名</w:t>
            </w:r>
          </w:p>
          <w:p w14:paraId="50D14F2D">
            <w:pPr>
              <w:autoSpaceDE w:val="0"/>
              <w:autoSpaceDN w:val="0"/>
              <w:spacing w:line="360" w:lineRule="auto"/>
              <w:ind w:firstLine="0" w:firstLineChars="0"/>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eastAsia="zh-CN"/>
              </w:rPr>
              <w:t>中标</w:t>
            </w:r>
            <w:r>
              <w:rPr>
                <w:rFonts w:hint="eastAsia" w:ascii="宋体" w:hAnsi="宋体" w:eastAsia="宋体" w:cs="宋体"/>
                <w:color w:val="auto"/>
                <w:sz w:val="24"/>
                <w:szCs w:val="24"/>
                <w:highlight w:val="none"/>
              </w:rPr>
              <w:t>原则：综合</w:t>
            </w:r>
            <w:r>
              <w:rPr>
                <w:rFonts w:hint="eastAsia" w:ascii="宋体" w:hAnsi="宋体" w:eastAsia="宋体" w:cs="宋体"/>
                <w:color w:val="auto"/>
                <w:sz w:val="24"/>
                <w:szCs w:val="24"/>
                <w:highlight w:val="none"/>
                <w:lang w:val="en-US" w:eastAsia="zh-CN"/>
              </w:rPr>
              <w:t>得分</w:t>
            </w:r>
            <w:r>
              <w:rPr>
                <w:rFonts w:hint="eastAsia" w:ascii="宋体" w:hAnsi="宋体" w:eastAsia="宋体" w:cs="宋体"/>
                <w:color w:val="auto"/>
                <w:sz w:val="24"/>
                <w:szCs w:val="24"/>
                <w:highlight w:val="none"/>
              </w:rPr>
              <w:t>排名第1的</w:t>
            </w:r>
            <w:r>
              <w:rPr>
                <w:rFonts w:hint="eastAsia" w:ascii="宋体" w:hAnsi="宋体" w:eastAsia="宋体" w:cs="宋体"/>
                <w:color w:val="auto"/>
                <w:sz w:val="24"/>
                <w:szCs w:val="24"/>
                <w:highlight w:val="none"/>
                <w:lang w:eastAsia="zh-CN"/>
              </w:rPr>
              <w:t>中标候选</w:t>
            </w:r>
            <w:r>
              <w:rPr>
                <w:rFonts w:hint="eastAsia" w:ascii="宋体" w:hAnsi="宋体" w:eastAsia="宋体" w:cs="宋体"/>
                <w:color w:val="auto"/>
                <w:sz w:val="24"/>
                <w:szCs w:val="24"/>
                <w:highlight w:val="none"/>
                <w:lang w:val="en-US" w:eastAsia="zh-CN"/>
              </w:rPr>
              <w:t>人中标</w:t>
            </w:r>
          </w:p>
          <w:p w14:paraId="606181AD">
            <w:pPr>
              <w:autoSpaceDE w:val="0"/>
              <w:autoSpaceDN w:val="0"/>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注：如被确定的</w:t>
            </w:r>
            <w:r>
              <w:rPr>
                <w:rFonts w:hint="eastAsia" w:ascii="宋体" w:hAnsi="宋体" w:eastAsia="宋体" w:cs="宋体"/>
                <w:color w:val="auto"/>
                <w:sz w:val="24"/>
                <w:szCs w:val="24"/>
                <w:highlight w:val="none"/>
                <w:lang w:eastAsia="zh-CN"/>
              </w:rPr>
              <w:t>中标候选人</w:t>
            </w:r>
            <w:r>
              <w:rPr>
                <w:rFonts w:hint="eastAsia" w:ascii="宋体" w:hAnsi="宋体" w:eastAsia="宋体" w:cs="宋体"/>
                <w:color w:val="auto"/>
                <w:sz w:val="24"/>
                <w:szCs w:val="24"/>
                <w:highlight w:val="none"/>
              </w:rPr>
              <w:t>放弃</w:t>
            </w:r>
            <w:r>
              <w:rPr>
                <w:rFonts w:hint="eastAsia" w:ascii="宋体" w:hAnsi="宋体" w:eastAsia="宋体" w:cs="宋体"/>
                <w:color w:val="auto"/>
                <w:sz w:val="24"/>
                <w:szCs w:val="24"/>
                <w:highlight w:val="none"/>
                <w:lang w:eastAsia="zh-CN"/>
              </w:rPr>
              <w:t>中标</w:t>
            </w:r>
            <w:r>
              <w:rPr>
                <w:rFonts w:hint="eastAsia" w:ascii="宋体" w:hAnsi="宋体" w:eastAsia="宋体" w:cs="宋体"/>
                <w:color w:val="auto"/>
                <w:sz w:val="24"/>
                <w:szCs w:val="24"/>
                <w:highlight w:val="none"/>
              </w:rPr>
              <w:t>、因不可抗力不能履行合同，或者被查实存在影响</w:t>
            </w:r>
            <w:r>
              <w:rPr>
                <w:rFonts w:hint="eastAsia" w:ascii="宋体" w:hAnsi="宋体" w:eastAsia="宋体" w:cs="宋体"/>
                <w:color w:val="auto"/>
                <w:sz w:val="24"/>
                <w:szCs w:val="24"/>
                <w:highlight w:val="none"/>
                <w:lang w:eastAsia="zh-CN"/>
              </w:rPr>
              <w:t>中标</w:t>
            </w:r>
            <w:r>
              <w:rPr>
                <w:rFonts w:hint="eastAsia" w:ascii="宋体" w:hAnsi="宋体" w:eastAsia="宋体" w:cs="宋体"/>
                <w:color w:val="auto"/>
                <w:sz w:val="24"/>
                <w:szCs w:val="24"/>
                <w:highlight w:val="none"/>
              </w:rPr>
              <w:t>结果的违法行为等情形，不符合</w:t>
            </w:r>
            <w:r>
              <w:rPr>
                <w:rFonts w:hint="eastAsia" w:ascii="宋体" w:hAnsi="宋体" w:eastAsia="宋体" w:cs="宋体"/>
                <w:color w:val="auto"/>
                <w:sz w:val="24"/>
                <w:szCs w:val="24"/>
                <w:highlight w:val="none"/>
                <w:lang w:eastAsia="zh-CN"/>
              </w:rPr>
              <w:t>中标</w:t>
            </w:r>
            <w:r>
              <w:rPr>
                <w:rFonts w:hint="eastAsia" w:ascii="宋体" w:hAnsi="宋体" w:eastAsia="宋体" w:cs="宋体"/>
                <w:color w:val="auto"/>
                <w:sz w:val="24"/>
                <w:szCs w:val="24"/>
                <w:highlight w:val="none"/>
              </w:rPr>
              <w:t>条件的，采购人将按照评标委员会提出的</w:t>
            </w:r>
            <w:r>
              <w:rPr>
                <w:rFonts w:hint="eastAsia" w:ascii="宋体" w:hAnsi="宋体" w:eastAsia="宋体" w:cs="宋体"/>
                <w:color w:val="auto"/>
                <w:sz w:val="24"/>
                <w:szCs w:val="24"/>
                <w:highlight w:val="none"/>
                <w:lang w:eastAsia="zh-CN"/>
              </w:rPr>
              <w:t>中标候选人</w:t>
            </w:r>
            <w:r>
              <w:rPr>
                <w:rFonts w:hint="eastAsia" w:ascii="宋体" w:hAnsi="宋体" w:eastAsia="宋体" w:cs="宋体"/>
                <w:color w:val="auto"/>
                <w:sz w:val="24"/>
                <w:szCs w:val="24"/>
                <w:highlight w:val="none"/>
              </w:rPr>
              <w:t>名单排序依次确定其他</w:t>
            </w:r>
            <w:r>
              <w:rPr>
                <w:rFonts w:hint="eastAsia" w:ascii="宋体" w:hAnsi="宋体" w:eastAsia="宋体" w:cs="宋体"/>
                <w:color w:val="auto"/>
                <w:sz w:val="24"/>
                <w:szCs w:val="24"/>
                <w:highlight w:val="none"/>
                <w:lang w:eastAsia="zh-CN"/>
              </w:rPr>
              <w:t>中标候选人</w:t>
            </w:r>
            <w:r>
              <w:rPr>
                <w:rFonts w:hint="eastAsia" w:ascii="宋体" w:hAnsi="宋体" w:eastAsia="宋体" w:cs="宋体"/>
                <w:color w:val="auto"/>
                <w:sz w:val="24"/>
                <w:szCs w:val="24"/>
                <w:highlight w:val="none"/>
              </w:rPr>
              <w:t>为</w:t>
            </w:r>
            <w:r>
              <w:rPr>
                <w:rFonts w:hint="eastAsia" w:ascii="宋体" w:hAnsi="宋体" w:eastAsia="宋体" w:cs="宋体"/>
                <w:color w:val="auto"/>
                <w:sz w:val="24"/>
                <w:szCs w:val="24"/>
                <w:highlight w:val="none"/>
                <w:lang w:eastAsia="zh-CN"/>
              </w:rPr>
              <w:t>中标投标人</w:t>
            </w:r>
            <w:r>
              <w:rPr>
                <w:rFonts w:hint="eastAsia" w:ascii="宋体" w:hAnsi="宋体" w:eastAsia="宋体" w:cs="宋体"/>
                <w:color w:val="auto"/>
                <w:sz w:val="24"/>
                <w:szCs w:val="24"/>
                <w:highlight w:val="none"/>
              </w:rPr>
              <w:t>。采购人也可以选择重新招标。</w:t>
            </w:r>
            <w:r>
              <w:rPr>
                <w:rFonts w:hint="eastAsia" w:ascii="宋体" w:hAnsi="宋体" w:eastAsia="宋体" w:cs="宋体"/>
                <w:color w:val="auto"/>
                <w:sz w:val="24"/>
                <w:szCs w:val="24"/>
                <w:highlight w:val="none"/>
                <w:lang w:eastAsia="zh-CN"/>
              </w:rPr>
              <w:t>中标</w:t>
            </w:r>
            <w:r>
              <w:rPr>
                <w:rFonts w:hint="eastAsia" w:ascii="宋体" w:hAnsi="宋体" w:eastAsia="宋体" w:cs="宋体"/>
                <w:color w:val="auto"/>
                <w:sz w:val="24"/>
                <w:szCs w:val="24"/>
                <w:highlight w:val="none"/>
              </w:rPr>
              <w:t>结果确定后，将在发布招标公告的网络媒介上予以公示。</w:t>
            </w:r>
          </w:p>
          <w:p w14:paraId="2F838BE5">
            <w:pPr>
              <w:autoSpaceDE w:val="0"/>
              <w:autoSpaceDN w:val="0"/>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本项目采用综合评分法评标，评标委员会将按下述标准评定</w:t>
            </w:r>
            <w:r>
              <w:rPr>
                <w:rFonts w:hint="eastAsia" w:ascii="宋体" w:hAnsi="宋体" w:eastAsia="宋体" w:cs="宋体"/>
                <w:color w:val="auto"/>
                <w:sz w:val="24"/>
                <w:szCs w:val="24"/>
                <w:highlight w:val="none"/>
                <w:lang w:eastAsia="zh-CN"/>
              </w:rPr>
              <w:t>中标投标人</w:t>
            </w:r>
            <w:r>
              <w:rPr>
                <w:rFonts w:hint="eastAsia" w:ascii="宋体" w:hAnsi="宋体" w:eastAsia="宋体" w:cs="宋体"/>
                <w:color w:val="auto"/>
                <w:sz w:val="24"/>
                <w:szCs w:val="24"/>
                <w:highlight w:val="none"/>
              </w:rPr>
              <w:t>：独立对每个</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的投标文件进行评价，并汇总每个</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的得分。按评审后得分由高到低顺序排列。得分相同的，按投标报价由低到高顺序排列。得分且投标报价相同的并列。投标文件满足招标文件全部实质性要求，且按照评审因素的量化指标评审得分最高的</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为排名第一的</w:t>
            </w:r>
            <w:r>
              <w:rPr>
                <w:rFonts w:hint="eastAsia" w:ascii="宋体" w:hAnsi="宋体" w:eastAsia="宋体" w:cs="宋体"/>
                <w:color w:val="auto"/>
                <w:sz w:val="24"/>
                <w:szCs w:val="24"/>
                <w:highlight w:val="none"/>
                <w:lang w:eastAsia="zh-CN"/>
              </w:rPr>
              <w:t>中标候</w:t>
            </w:r>
            <w:r>
              <w:rPr>
                <w:rFonts w:hint="eastAsia" w:ascii="宋体" w:hAnsi="宋体" w:eastAsia="宋体" w:cs="宋体"/>
                <w:color w:val="auto"/>
                <w:sz w:val="24"/>
                <w:szCs w:val="24"/>
                <w:highlight w:val="none"/>
                <w:lang w:val="en-US" w:eastAsia="zh-CN"/>
              </w:rPr>
              <w:t>人中标</w:t>
            </w:r>
            <w:r>
              <w:rPr>
                <w:rFonts w:hint="eastAsia" w:ascii="宋体" w:hAnsi="宋体" w:eastAsia="宋体" w:cs="宋体"/>
                <w:color w:val="auto"/>
                <w:sz w:val="24"/>
                <w:szCs w:val="24"/>
                <w:highlight w:val="none"/>
              </w:rPr>
              <w:t>。</w:t>
            </w:r>
          </w:p>
          <w:p w14:paraId="433350C5">
            <w:pPr>
              <w:autoSpaceDE w:val="0"/>
              <w:autoSpaceDN w:val="0"/>
              <w:spacing w:line="360" w:lineRule="auto"/>
              <w:ind w:firstLine="0" w:firstLineChars="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提供相同品牌产品且通过资格审查、符合性审查的不同</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参加同一合同项下投标的，按一家</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计算，评审后得分最高的同品牌</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获得</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推荐资格；评审得分相同的，由采购人或采购人委托的评标委员会按照招标文件规定的方式确定一个</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获得</w:t>
            </w:r>
            <w:r>
              <w:rPr>
                <w:rFonts w:hint="eastAsia" w:ascii="宋体" w:hAnsi="宋体" w:eastAsia="宋体" w:cs="宋体"/>
                <w:color w:val="auto"/>
                <w:kern w:val="0"/>
                <w:sz w:val="24"/>
                <w:szCs w:val="24"/>
                <w:highlight w:val="none"/>
                <w:lang w:eastAsia="zh-CN"/>
              </w:rPr>
              <w:t>中标人</w:t>
            </w:r>
            <w:r>
              <w:rPr>
                <w:rFonts w:hint="eastAsia" w:ascii="宋体" w:hAnsi="宋体" w:eastAsia="宋体" w:cs="宋体"/>
                <w:color w:val="auto"/>
                <w:kern w:val="0"/>
                <w:sz w:val="24"/>
                <w:szCs w:val="24"/>
                <w:highlight w:val="none"/>
              </w:rPr>
              <w:t>推荐资格，招标文件未规定的采取随机抽取方式确定，其他同品牌</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不作为</w:t>
            </w:r>
            <w:r>
              <w:rPr>
                <w:rFonts w:hint="eastAsia" w:ascii="宋体" w:hAnsi="宋体" w:eastAsia="宋体" w:cs="宋体"/>
                <w:color w:val="auto"/>
                <w:kern w:val="0"/>
                <w:sz w:val="24"/>
                <w:szCs w:val="24"/>
                <w:highlight w:val="none"/>
                <w:lang w:eastAsia="zh-CN"/>
              </w:rPr>
              <w:t>中标候选人</w:t>
            </w:r>
            <w:r>
              <w:rPr>
                <w:rFonts w:hint="eastAsia" w:ascii="宋体" w:hAnsi="宋体" w:eastAsia="宋体" w:cs="宋体"/>
                <w:color w:val="auto"/>
                <w:kern w:val="0"/>
                <w:sz w:val="24"/>
                <w:szCs w:val="24"/>
                <w:highlight w:val="none"/>
              </w:rPr>
              <w:t>。</w:t>
            </w:r>
          </w:p>
          <w:p w14:paraId="3C1DFA8D">
            <w:pPr>
              <w:autoSpaceDE w:val="0"/>
              <w:autoSpaceDN w:val="0"/>
              <w:spacing w:line="360" w:lineRule="auto"/>
              <w:ind w:firstLine="0" w:firstLineChars="0"/>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0"/>
                <w:sz w:val="24"/>
                <w:szCs w:val="24"/>
                <w:highlight w:val="none"/>
              </w:rPr>
              <w:t>非单一产品采购项目，采购人根据采购项目技术构成、产品价格比重等合理确定核心产品，并在招标文件第五章中载明。多家</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提供的核心产品品牌相同的，按前款规定处理。</w:t>
            </w:r>
          </w:p>
        </w:tc>
      </w:tr>
      <w:tr w14:paraId="690DB242">
        <w:tblPrEx>
          <w:tblCellMar>
            <w:top w:w="0" w:type="dxa"/>
            <w:left w:w="108" w:type="dxa"/>
            <w:bottom w:w="0" w:type="dxa"/>
            <w:right w:w="108" w:type="dxa"/>
          </w:tblCellMar>
        </w:tblPrEx>
        <w:trPr>
          <w:trHeight w:val="567" w:hRule="atLeas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701B5CD9">
            <w:pPr>
              <w:autoSpaceDE w:val="0"/>
              <w:autoSpaceDN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7.3</w:t>
            </w:r>
          </w:p>
        </w:tc>
        <w:tc>
          <w:tcPr>
            <w:tcW w:w="2137" w:type="dxa"/>
            <w:tcBorders>
              <w:top w:val="single" w:color="auto" w:sz="4" w:space="0"/>
              <w:left w:val="single" w:color="auto" w:sz="4" w:space="0"/>
              <w:bottom w:val="single" w:color="auto" w:sz="4" w:space="0"/>
              <w:right w:val="single" w:color="auto" w:sz="4" w:space="0"/>
            </w:tcBorders>
            <w:noWrap w:val="0"/>
            <w:vAlign w:val="center"/>
          </w:tcPr>
          <w:p w14:paraId="3DFD5590">
            <w:pPr>
              <w:spacing w:line="360" w:lineRule="auto"/>
              <w:ind w:firstLine="0" w:firstLineChars="0"/>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sz w:val="24"/>
                <w:szCs w:val="24"/>
                <w:highlight w:val="none"/>
              </w:rPr>
              <w:t>履约</w:t>
            </w:r>
            <w:r>
              <w:rPr>
                <w:rFonts w:hint="eastAsia" w:hAnsi="宋体" w:cs="宋体"/>
                <w:color w:val="auto"/>
                <w:sz w:val="24"/>
                <w:szCs w:val="24"/>
                <w:highlight w:val="none"/>
                <w:lang w:val="en-US" w:eastAsia="zh-CN"/>
              </w:rPr>
              <w:t>保证金</w:t>
            </w:r>
          </w:p>
        </w:tc>
        <w:tc>
          <w:tcPr>
            <w:tcW w:w="6521" w:type="dxa"/>
            <w:tcBorders>
              <w:top w:val="single" w:color="auto" w:sz="4" w:space="0"/>
              <w:left w:val="single" w:color="auto" w:sz="4" w:space="0"/>
              <w:bottom w:val="single" w:color="auto" w:sz="4" w:space="0"/>
              <w:right w:val="single" w:color="auto" w:sz="4" w:space="0"/>
            </w:tcBorders>
            <w:noWrap w:val="0"/>
            <w:vAlign w:val="center"/>
          </w:tcPr>
          <w:p w14:paraId="5F93EF84">
            <w:pPr>
              <w:autoSpaceDE w:val="0"/>
              <w:autoSpaceDN w:val="0"/>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w:t>
            </w:r>
          </w:p>
        </w:tc>
      </w:tr>
      <w:tr w14:paraId="65A96C57">
        <w:tblPrEx>
          <w:tblCellMar>
            <w:top w:w="0" w:type="dxa"/>
            <w:left w:w="108" w:type="dxa"/>
            <w:bottom w:w="0" w:type="dxa"/>
            <w:right w:w="108" w:type="dxa"/>
          </w:tblCellMar>
        </w:tblPrEx>
        <w:trPr>
          <w:trHeight w:val="567" w:hRule="atLeast"/>
          <w:jc w:val="center"/>
        </w:trPr>
        <w:tc>
          <w:tcPr>
            <w:tcW w:w="9673" w:type="dxa"/>
            <w:gridSpan w:val="3"/>
            <w:tcBorders>
              <w:top w:val="single" w:color="auto" w:sz="4" w:space="0"/>
              <w:left w:val="single" w:color="auto" w:sz="4" w:space="0"/>
              <w:bottom w:val="single" w:color="auto" w:sz="4" w:space="0"/>
              <w:right w:val="single" w:color="auto" w:sz="4" w:space="0"/>
            </w:tcBorders>
            <w:noWrap w:val="0"/>
            <w:vAlign w:val="center"/>
          </w:tcPr>
          <w:p w14:paraId="6E67DB1A">
            <w:pPr>
              <w:autoSpaceDE w:val="0"/>
              <w:autoSpaceDN w:val="0"/>
              <w:spacing w:line="360" w:lineRule="auto"/>
              <w:ind w:firstLine="0" w:firstLineChars="0"/>
              <w:jc w:val="center"/>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需要补充的其他内容</w:t>
            </w:r>
          </w:p>
        </w:tc>
      </w:tr>
      <w:tr w14:paraId="03BA0DB6">
        <w:tblPrEx>
          <w:tblCellMar>
            <w:top w:w="0" w:type="dxa"/>
            <w:left w:w="108" w:type="dxa"/>
            <w:bottom w:w="0" w:type="dxa"/>
            <w:right w:w="108" w:type="dxa"/>
          </w:tblCellMar>
        </w:tblPrEx>
        <w:trPr>
          <w:trHeight w:val="567" w:hRule="atLeas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3B8D2869">
            <w:pPr>
              <w:numPr>
                <w:ilvl w:val="0"/>
                <w:numId w:val="1"/>
              </w:numPr>
              <w:autoSpaceDE w:val="0"/>
              <w:autoSpaceDN w:val="0"/>
              <w:spacing w:line="360" w:lineRule="auto"/>
              <w:ind w:left="0" w:firstLine="0" w:firstLineChars="0"/>
              <w:jc w:val="center"/>
              <w:rPr>
                <w:rFonts w:hint="eastAsia" w:ascii="宋体" w:hAnsi="宋体" w:eastAsia="宋体" w:cs="宋体"/>
                <w:color w:val="auto"/>
                <w:kern w:val="0"/>
                <w:sz w:val="24"/>
                <w:szCs w:val="24"/>
                <w:highlight w:val="none"/>
              </w:rPr>
            </w:pPr>
          </w:p>
        </w:tc>
        <w:tc>
          <w:tcPr>
            <w:tcW w:w="2137" w:type="dxa"/>
            <w:tcBorders>
              <w:top w:val="single" w:color="auto" w:sz="4" w:space="0"/>
              <w:left w:val="single" w:color="auto" w:sz="4" w:space="0"/>
              <w:bottom w:val="single" w:color="auto" w:sz="4" w:space="0"/>
              <w:right w:val="single" w:color="auto" w:sz="4" w:space="0"/>
            </w:tcBorders>
            <w:noWrap w:val="0"/>
            <w:vAlign w:val="center"/>
          </w:tcPr>
          <w:p w14:paraId="0B81128E">
            <w:pPr>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“暗标”评审</w:t>
            </w:r>
          </w:p>
        </w:tc>
        <w:tc>
          <w:tcPr>
            <w:tcW w:w="6521" w:type="dxa"/>
            <w:tcBorders>
              <w:top w:val="single" w:color="auto" w:sz="4" w:space="0"/>
              <w:left w:val="single" w:color="auto" w:sz="4" w:space="0"/>
              <w:bottom w:val="single" w:color="auto" w:sz="4" w:space="0"/>
              <w:right w:val="single" w:color="auto" w:sz="4" w:space="0"/>
            </w:tcBorders>
            <w:noWrap w:val="0"/>
            <w:vAlign w:val="center"/>
          </w:tcPr>
          <w:p w14:paraId="731FF4BD">
            <w:pPr>
              <w:spacing w:line="360" w:lineRule="auto"/>
              <w:ind w:firstLine="0" w:firstLineChars="0"/>
              <w:rPr>
                <w:rFonts w:hint="eastAsia" w:ascii="宋体" w:hAnsi="宋体" w:eastAsia="宋体" w:cs="宋体"/>
                <w:b/>
                <w:color w:val="auto"/>
                <w:kern w:val="0"/>
                <w:sz w:val="24"/>
                <w:szCs w:val="24"/>
                <w:highlight w:val="none"/>
              </w:rPr>
            </w:pPr>
            <w:r>
              <w:rPr>
                <w:rFonts w:hint="eastAsia" w:ascii="宋体" w:hAnsi="宋体" w:eastAsia="宋体" w:cs="宋体"/>
                <w:color w:val="auto"/>
                <w:sz w:val="24"/>
                <w:szCs w:val="24"/>
                <w:highlight w:val="none"/>
                <w:lang w:val="en-US" w:eastAsia="zh-CN"/>
              </w:rPr>
              <w:t>本项目采用暗标评审，投标人应严格按照招标文件第六章“投标文件格式”中暗标的编制要求，编制技术文件。</w:t>
            </w:r>
          </w:p>
        </w:tc>
      </w:tr>
      <w:tr w14:paraId="1B24D29A">
        <w:tblPrEx>
          <w:tblCellMar>
            <w:top w:w="0" w:type="dxa"/>
            <w:left w:w="108" w:type="dxa"/>
            <w:bottom w:w="0" w:type="dxa"/>
            <w:right w:w="108" w:type="dxa"/>
          </w:tblCellMar>
        </w:tblPrEx>
        <w:trPr>
          <w:trHeight w:val="567" w:hRule="atLeas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04219B79">
            <w:pPr>
              <w:numPr>
                <w:ilvl w:val="0"/>
                <w:numId w:val="1"/>
              </w:numPr>
              <w:autoSpaceDE w:val="0"/>
              <w:autoSpaceDN w:val="0"/>
              <w:spacing w:line="360" w:lineRule="auto"/>
              <w:ind w:left="0" w:firstLine="0" w:firstLineChars="0"/>
              <w:jc w:val="center"/>
              <w:rPr>
                <w:rFonts w:hint="eastAsia" w:ascii="宋体" w:hAnsi="宋体" w:eastAsia="宋体" w:cs="宋体"/>
                <w:color w:val="auto"/>
                <w:kern w:val="0"/>
                <w:sz w:val="24"/>
                <w:szCs w:val="24"/>
                <w:highlight w:val="none"/>
              </w:rPr>
            </w:pPr>
          </w:p>
        </w:tc>
        <w:tc>
          <w:tcPr>
            <w:tcW w:w="2137" w:type="dxa"/>
            <w:tcBorders>
              <w:top w:val="single" w:color="auto" w:sz="4" w:space="0"/>
              <w:left w:val="single" w:color="auto" w:sz="4" w:space="0"/>
              <w:bottom w:val="single" w:color="auto" w:sz="4" w:space="0"/>
              <w:right w:val="single" w:color="auto" w:sz="4" w:space="0"/>
            </w:tcBorders>
            <w:noWrap w:val="0"/>
            <w:vAlign w:val="center"/>
          </w:tcPr>
          <w:p w14:paraId="450B225A">
            <w:pPr>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预算金额</w:t>
            </w:r>
          </w:p>
          <w:p w14:paraId="306D6F4C">
            <w:pPr>
              <w:spacing w:line="360" w:lineRule="auto"/>
              <w:ind w:firstLine="0" w:firstLineChars="0"/>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rPr>
              <w:t>（最高投标限价）</w:t>
            </w:r>
          </w:p>
        </w:tc>
        <w:tc>
          <w:tcPr>
            <w:tcW w:w="6521" w:type="dxa"/>
            <w:tcBorders>
              <w:top w:val="single" w:color="auto" w:sz="4" w:space="0"/>
              <w:left w:val="single" w:color="auto" w:sz="4" w:space="0"/>
              <w:bottom w:val="single" w:color="auto" w:sz="4" w:space="0"/>
              <w:right w:val="single" w:color="auto" w:sz="4" w:space="0"/>
            </w:tcBorders>
            <w:noWrap w:val="0"/>
            <w:vAlign w:val="center"/>
          </w:tcPr>
          <w:p w14:paraId="7BF72CF2">
            <w:pPr>
              <w:spacing w:line="360" w:lineRule="auto"/>
              <w:ind w:firstLine="0" w:firstLineChars="0"/>
              <w:rPr>
                <w:rFonts w:hint="default" w:hAnsi="宋体" w:cs="宋体"/>
                <w:color w:val="auto"/>
                <w:kern w:val="0"/>
                <w:sz w:val="24"/>
                <w:szCs w:val="24"/>
                <w:highlight w:val="none"/>
                <w:lang w:val="en-US" w:eastAsia="zh-CN" w:bidi="ar"/>
              </w:rPr>
            </w:pPr>
            <w:r>
              <w:rPr>
                <w:rFonts w:hint="eastAsia" w:hAnsi="宋体" w:cs="宋体"/>
                <w:color w:val="auto"/>
                <w:kern w:val="0"/>
                <w:sz w:val="24"/>
                <w:szCs w:val="24"/>
                <w:highlight w:val="none"/>
                <w:lang w:val="en-US" w:eastAsia="zh-CN" w:bidi="ar"/>
              </w:rPr>
              <w:t>最高投标限价：1350元/吨</w:t>
            </w:r>
          </w:p>
          <w:p w14:paraId="603539E1">
            <w:pPr>
              <w:spacing w:line="360" w:lineRule="auto"/>
              <w:ind w:firstLine="0" w:firstLineChars="0"/>
              <w:rPr>
                <w:rFonts w:hint="eastAsia" w:ascii="宋体" w:hAnsi="宋体" w:eastAsia="宋体" w:cs="宋体"/>
                <w:b/>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bidi="ar"/>
              </w:rPr>
              <w:t>投标报价不得超过最高投标限价。</w:t>
            </w:r>
          </w:p>
        </w:tc>
      </w:tr>
      <w:tr w14:paraId="273E8ED7">
        <w:tblPrEx>
          <w:tblCellMar>
            <w:top w:w="0" w:type="dxa"/>
            <w:left w:w="108" w:type="dxa"/>
            <w:bottom w:w="0" w:type="dxa"/>
            <w:right w:w="108" w:type="dxa"/>
          </w:tblCellMar>
        </w:tblPrEx>
        <w:trPr>
          <w:trHeight w:val="567" w:hRule="atLeas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3E6342CA">
            <w:pPr>
              <w:numPr>
                <w:ilvl w:val="0"/>
                <w:numId w:val="1"/>
              </w:numPr>
              <w:autoSpaceDE w:val="0"/>
              <w:autoSpaceDN w:val="0"/>
              <w:spacing w:line="360" w:lineRule="auto"/>
              <w:ind w:left="0" w:firstLine="0" w:firstLineChars="0"/>
              <w:jc w:val="center"/>
              <w:rPr>
                <w:rFonts w:hint="eastAsia" w:ascii="宋体" w:hAnsi="宋体" w:eastAsia="宋体" w:cs="宋体"/>
                <w:color w:val="auto"/>
                <w:kern w:val="0"/>
                <w:sz w:val="24"/>
                <w:szCs w:val="24"/>
                <w:highlight w:val="none"/>
              </w:rPr>
            </w:pPr>
          </w:p>
        </w:tc>
        <w:tc>
          <w:tcPr>
            <w:tcW w:w="2137" w:type="dxa"/>
            <w:tcBorders>
              <w:top w:val="single" w:color="auto" w:sz="4" w:space="0"/>
              <w:left w:val="single" w:color="auto" w:sz="4" w:space="0"/>
              <w:bottom w:val="single" w:color="auto" w:sz="4" w:space="0"/>
              <w:right w:val="single" w:color="auto" w:sz="4" w:space="0"/>
            </w:tcBorders>
            <w:noWrap w:val="0"/>
            <w:vAlign w:val="center"/>
          </w:tcPr>
          <w:p w14:paraId="0A0B3089">
            <w:pPr>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合同方式</w:t>
            </w:r>
          </w:p>
        </w:tc>
        <w:tc>
          <w:tcPr>
            <w:tcW w:w="6521" w:type="dxa"/>
            <w:tcBorders>
              <w:top w:val="single" w:color="auto" w:sz="4" w:space="0"/>
              <w:left w:val="single" w:color="auto" w:sz="4" w:space="0"/>
              <w:bottom w:val="single" w:color="auto" w:sz="4" w:space="0"/>
              <w:right w:val="single" w:color="auto" w:sz="4" w:space="0"/>
            </w:tcBorders>
            <w:noWrap w:val="0"/>
            <w:vAlign w:val="center"/>
          </w:tcPr>
          <w:p w14:paraId="5F05A631">
            <w:pPr>
              <w:spacing w:line="360" w:lineRule="auto"/>
              <w:ind w:firstLine="0" w:firstLineChars="0"/>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固定单价</w:t>
            </w:r>
          </w:p>
        </w:tc>
      </w:tr>
      <w:tr w14:paraId="53142840">
        <w:tblPrEx>
          <w:tblCellMar>
            <w:top w:w="0" w:type="dxa"/>
            <w:left w:w="108" w:type="dxa"/>
            <w:bottom w:w="0" w:type="dxa"/>
            <w:right w:w="108" w:type="dxa"/>
          </w:tblCellMar>
        </w:tblPrEx>
        <w:trPr>
          <w:trHeight w:val="567" w:hRule="atLeas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0785D9A3">
            <w:pPr>
              <w:numPr>
                <w:ilvl w:val="0"/>
                <w:numId w:val="1"/>
              </w:numPr>
              <w:autoSpaceDE w:val="0"/>
              <w:autoSpaceDN w:val="0"/>
              <w:spacing w:line="360" w:lineRule="auto"/>
              <w:ind w:left="0" w:firstLine="0" w:firstLineChars="0"/>
              <w:jc w:val="center"/>
              <w:rPr>
                <w:rFonts w:hint="eastAsia" w:ascii="宋体" w:hAnsi="宋体" w:eastAsia="宋体" w:cs="宋体"/>
                <w:color w:val="auto"/>
                <w:kern w:val="0"/>
                <w:sz w:val="24"/>
                <w:szCs w:val="24"/>
                <w:highlight w:val="none"/>
              </w:rPr>
            </w:pPr>
          </w:p>
        </w:tc>
        <w:tc>
          <w:tcPr>
            <w:tcW w:w="21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87D5A9D">
            <w:pPr>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付款方式</w:t>
            </w:r>
          </w:p>
        </w:tc>
        <w:tc>
          <w:tcPr>
            <w:tcW w:w="652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DED3AB">
            <w:pPr>
              <w:autoSpaceDE w:val="0"/>
              <w:autoSpaceDN w:val="0"/>
              <w:spacing w:line="360" w:lineRule="auto"/>
              <w:ind w:firstLine="0" w:firstLineChars="0"/>
              <w:rPr>
                <w:rFonts w:hint="default" w:ascii="宋体" w:hAnsi="宋体" w:eastAsia="宋体" w:cs="宋体"/>
                <w:color w:val="auto"/>
                <w:kern w:val="0"/>
                <w:sz w:val="24"/>
                <w:szCs w:val="24"/>
                <w:highlight w:val="none"/>
                <w:lang w:val="en-US" w:eastAsia="zh-CN"/>
              </w:rPr>
            </w:pPr>
            <w:r>
              <w:rPr>
                <w:rFonts w:hint="eastAsia" w:hAnsi="宋体" w:cs="宋体"/>
                <w:color w:val="auto"/>
                <w:kern w:val="0"/>
                <w:sz w:val="24"/>
                <w:szCs w:val="24"/>
                <w:highlight w:val="none"/>
                <w:lang w:val="en-US" w:eastAsia="zh-CN"/>
              </w:rPr>
              <w:t>验收合格后，60日内全部支付。</w:t>
            </w:r>
          </w:p>
        </w:tc>
      </w:tr>
      <w:tr w14:paraId="6D293C4C">
        <w:tblPrEx>
          <w:tblCellMar>
            <w:top w:w="0" w:type="dxa"/>
            <w:left w:w="108" w:type="dxa"/>
            <w:bottom w:w="0" w:type="dxa"/>
            <w:right w:w="108" w:type="dxa"/>
          </w:tblCellMar>
        </w:tblPrEx>
        <w:trPr>
          <w:trHeight w:val="567" w:hRule="atLeas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0C491881">
            <w:pPr>
              <w:numPr>
                <w:ilvl w:val="0"/>
                <w:numId w:val="1"/>
              </w:numPr>
              <w:autoSpaceDE w:val="0"/>
              <w:autoSpaceDN w:val="0"/>
              <w:spacing w:line="360" w:lineRule="auto"/>
              <w:ind w:left="0" w:firstLine="0" w:firstLineChars="0"/>
              <w:jc w:val="center"/>
              <w:rPr>
                <w:rFonts w:hint="eastAsia" w:ascii="宋体" w:hAnsi="宋体" w:eastAsia="宋体" w:cs="宋体"/>
                <w:color w:val="auto"/>
                <w:kern w:val="0"/>
                <w:sz w:val="24"/>
                <w:szCs w:val="24"/>
                <w:highlight w:val="none"/>
              </w:rPr>
            </w:pPr>
          </w:p>
        </w:tc>
        <w:tc>
          <w:tcPr>
            <w:tcW w:w="2137" w:type="dxa"/>
            <w:tcBorders>
              <w:top w:val="single" w:color="auto" w:sz="4" w:space="0"/>
              <w:left w:val="single" w:color="auto" w:sz="4" w:space="0"/>
              <w:bottom w:val="single" w:color="auto" w:sz="4" w:space="0"/>
              <w:right w:val="single" w:color="auto" w:sz="4" w:space="0"/>
            </w:tcBorders>
            <w:noWrap w:val="0"/>
            <w:vAlign w:val="center"/>
          </w:tcPr>
          <w:p w14:paraId="574B712D">
            <w:pPr>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投标报价</w:t>
            </w:r>
          </w:p>
        </w:tc>
        <w:tc>
          <w:tcPr>
            <w:tcW w:w="6521" w:type="dxa"/>
            <w:tcBorders>
              <w:top w:val="single" w:color="auto" w:sz="4" w:space="0"/>
              <w:left w:val="single" w:color="auto" w:sz="4" w:space="0"/>
              <w:bottom w:val="single" w:color="auto" w:sz="4" w:space="0"/>
              <w:right w:val="single" w:color="auto" w:sz="4" w:space="0"/>
            </w:tcBorders>
            <w:noWrap w:val="0"/>
            <w:vAlign w:val="center"/>
          </w:tcPr>
          <w:p w14:paraId="5B3A8889">
            <w:pPr>
              <w:autoSpaceDE w:val="0"/>
              <w:autoSpaceDN w:val="0"/>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w:t>
            </w:r>
            <w:r>
              <w:rPr>
                <w:rFonts w:hint="eastAsia" w:hAnsi="宋体" w:cs="宋体"/>
                <w:color w:val="auto"/>
                <w:sz w:val="24"/>
                <w:szCs w:val="24"/>
                <w:highlight w:val="none"/>
                <w:lang w:val="en-US" w:eastAsia="zh-CN"/>
              </w:rPr>
              <w:t>报价</w:t>
            </w:r>
            <w:r>
              <w:rPr>
                <w:rFonts w:hint="eastAsia" w:ascii="宋体" w:hAnsi="宋体" w:eastAsia="宋体" w:cs="宋体"/>
                <w:color w:val="auto"/>
                <w:sz w:val="24"/>
                <w:szCs w:val="24"/>
                <w:highlight w:val="none"/>
              </w:rPr>
              <w:t>超出</w:t>
            </w:r>
            <w:r>
              <w:rPr>
                <w:rFonts w:hint="eastAsia" w:hAnsi="宋体" w:cs="宋体"/>
                <w:color w:val="auto"/>
                <w:kern w:val="0"/>
                <w:sz w:val="24"/>
                <w:szCs w:val="24"/>
                <w:highlight w:val="none"/>
                <w:lang w:val="en-US" w:eastAsia="zh-CN" w:bidi="ar"/>
              </w:rPr>
              <w:t>最高投标限价1350元/吨</w:t>
            </w:r>
            <w:r>
              <w:rPr>
                <w:rFonts w:hint="eastAsia" w:ascii="宋体" w:hAnsi="宋体" w:eastAsia="宋体" w:cs="宋体"/>
                <w:color w:val="auto"/>
                <w:sz w:val="24"/>
                <w:szCs w:val="24"/>
                <w:highlight w:val="none"/>
              </w:rPr>
              <w:t>其投标将被否决</w:t>
            </w:r>
            <w:r>
              <w:rPr>
                <w:rFonts w:hint="eastAsia" w:ascii="宋体" w:hAnsi="宋体" w:eastAsia="宋体" w:cs="宋体"/>
                <w:bCs/>
                <w:color w:val="auto"/>
                <w:kern w:val="15"/>
                <w:sz w:val="24"/>
                <w:szCs w:val="24"/>
                <w:highlight w:val="none"/>
                <w:lang w:val="en-US" w:eastAsia="zh-CN"/>
              </w:rPr>
              <w:t>。</w:t>
            </w:r>
          </w:p>
        </w:tc>
      </w:tr>
      <w:tr w14:paraId="32BB5E6D">
        <w:tblPrEx>
          <w:tblCellMar>
            <w:top w:w="0" w:type="dxa"/>
            <w:left w:w="108" w:type="dxa"/>
            <w:bottom w:w="0" w:type="dxa"/>
            <w:right w:w="108" w:type="dxa"/>
          </w:tblCellMar>
        </w:tblPrEx>
        <w:trPr>
          <w:trHeight w:val="567" w:hRule="atLeas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22FA9DDF">
            <w:pPr>
              <w:numPr>
                <w:ilvl w:val="0"/>
                <w:numId w:val="1"/>
              </w:numPr>
              <w:autoSpaceDE w:val="0"/>
              <w:autoSpaceDN w:val="0"/>
              <w:spacing w:line="360" w:lineRule="auto"/>
              <w:ind w:left="0" w:firstLine="0" w:firstLineChars="0"/>
              <w:jc w:val="center"/>
              <w:rPr>
                <w:rFonts w:hint="eastAsia" w:ascii="宋体" w:hAnsi="宋体" w:eastAsia="宋体" w:cs="宋体"/>
                <w:color w:val="auto"/>
                <w:kern w:val="0"/>
                <w:sz w:val="24"/>
                <w:szCs w:val="24"/>
                <w:highlight w:val="none"/>
              </w:rPr>
            </w:pPr>
          </w:p>
        </w:tc>
        <w:tc>
          <w:tcPr>
            <w:tcW w:w="2137" w:type="dxa"/>
            <w:tcBorders>
              <w:top w:val="single" w:color="auto" w:sz="4" w:space="0"/>
              <w:left w:val="single" w:color="auto" w:sz="4" w:space="0"/>
              <w:bottom w:val="single" w:color="auto" w:sz="4" w:space="0"/>
              <w:right w:val="single" w:color="auto" w:sz="4" w:space="0"/>
            </w:tcBorders>
            <w:noWrap w:val="0"/>
            <w:vAlign w:val="center"/>
          </w:tcPr>
          <w:p w14:paraId="76355309">
            <w:pPr>
              <w:bidi w:val="0"/>
              <w:spacing w:line="360" w:lineRule="auto"/>
              <w:ind w:left="0" w:leftChars="0" w:firstLine="0" w:firstLineChars="0"/>
              <w:jc w:val="center"/>
              <w:rPr>
                <w:rFonts w:hint="eastAsia" w:ascii="宋体" w:hAnsi="宋体" w:eastAsia="宋体" w:cs="宋体"/>
                <w:color w:val="auto"/>
                <w:kern w:val="21"/>
                <w:sz w:val="24"/>
                <w:szCs w:val="24"/>
                <w:highlight w:val="none"/>
                <w:lang w:val="en-US" w:eastAsia="zh-CN" w:bidi="ar-SA"/>
              </w:rPr>
            </w:pPr>
            <w:r>
              <w:rPr>
                <w:rFonts w:hint="eastAsia" w:ascii="宋体" w:hAnsi="宋体" w:eastAsia="宋体" w:cs="宋体"/>
                <w:color w:val="auto"/>
                <w:sz w:val="24"/>
                <w:szCs w:val="24"/>
                <w:highlight w:val="none"/>
              </w:rPr>
              <w:t>异常低价审查</w:t>
            </w:r>
          </w:p>
        </w:tc>
        <w:tc>
          <w:tcPr>
            <w:tcW w:w="6521" w:type="dxa"/>
            <w:tcBorders>
              <w:top w:val="single" w:color="auto" w:sz="4" w:space="0"/>
              <w:left w:val="single" w:color="auto" w:sz="4" w:space="0"/>
              <w:bottom w:val="single" w:color="auto" w:sz="4" w:space="0"/>
              <w:right w:val="single" w:color="auto" w:sz="4" w:space="0"/>
            </w:tcBorders>
            <w:noWrap w:val="0"/>
            <w:vAlign w:val="center"/>
          </w:tcPr>
          <w:p w14:paraId="2CF4D6FF">
            <w:pPr>
              <w:bidi w:val="0"/>
              <w:spacing w:line="360" w:lineRule="auto"/>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（一）政府采购评审中出现下列情形之一的，启动异常低价投标（响应）审查程序：</w:t>
            </w:r>
          </w:p>
          <w:p w14:paraId="097E812E">
            <w:pPr>
              <w:bidi w:val="0"/>
              <w:spacing w:line="360" w:lineRule="auto"/>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1.投标（响应）报价低于全部通过符合性审查</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投标（响应）报价平均值</w:t>
            </w:r>
            <w:r>
              <w:rPr>
                <w:rFonts w:hint="eastAsia" w:ascii="宋体" w:hAnsi="宋体" w:eastAsia="宋体" w:cs="宋体"/>
                <w:color w:val="auto"/>
                <w:sz w:val="24"/>
                <w:szCs w:val="24"/>
                <w:highlight w:val="none"/>
                <w:lang w:val="en-US" w:eastAsia="zh-CN"/>
              </w:rPr>
              <w:t>65</w:t>
            </w:r>
            <w:r>
              <w:rPr>
                <w:rFonts w:hint="eastAsia" w:ascii="宋体" w:hAnsi="宋体" w:eastAsia="宋体" w:cs="宋体"/>
                <w:color w:val="auto"/>
                <w:sz w:val="24"/>
                <w:szCs w:val="24"/>
                <w:highlight w:val="none"/>
              </w:rPr>
              <w:t>%的，即投标（响应）报价&lt;全部通过符合性审查</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投标（响应）报价平均值×</w:t>
            </w:r>
            <w:r>
              <w:rPr>
                <w:rFonts w:hint="eastAsia" w:ascii="宋体" w:hAnsi="宋体" w:eastAsia="宋体" w:cs="宋体"/>
                <w:color w:val="auto"/>
                <w:sz w:val="24"/>
                <w:szCs w:val="24"/>
                <w:highlight w:val="none"/>
                <w:lang w:val="en-US" w:eastAsia="zh-CN"/>
              </w:rPr>
              <w:t>65</w:t>
            </w:r>
            <w:r>
              <w:rPr>
                <w:rFonts w:hint="eastAsia" w:ascii="宋体" w:hAnsi="宋体" w:eastAsia="宋体" w:cs="宋体"/>
                <w:color w:val="auto"/>
                <w:sz w:val="24"/>
                <w:szCs w:val="24"/>
                <w:highlight w:val="none"/>
              </w:rPr>
              <w:t>%；</w:t>
            </w:r>
          </w:p>
          <w:p w14:paraId="6E92CB3B">
            <w:pPr>
              <w:bidi w:val="0"/>
              <w:spacing w:line="360" w:lineRule="auto"/>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2.投标（响应）报价低于通过符合性审查的次低报价</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投标（响应）报价</w:t>
            </w:r>
            <w:r>
              <w:rPr>
                <w:rFonts w:hint="eastAsia" w:ascii="宋体" w:hAnsi="宋体" w:eastAsia="宋体" w:cs="宋体"/>
                <w:color w:val="auto"/>
                <w:sz w:val="24"/>
                <w:szCs w:val="24"/>
                <w:highlight w:val="none"/>
                <w:lang w:val="en-US" w:eastAsia="zh-CN"/>
              </w:rPr>
              <w:t>65</w:t>
            </w:r>
            <w:r>
              <w:rPr>
                <w:rFonts w:hint="eastAsia" w:ascii="宋体" w:hAnsi="宋体" w:eastAsia="宋体" w:cs="宋体"/>
                <w:color w:val="auto"/>
                <w:sz w:val="24"/>
                <w:szCs w:val="24"/>
                <w:highlight w:val="none"/>
              </w:rPr>
              <w:t>%的，即投标（响应）报价&lt;通过符合性审查的次低报价</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投标（响应）报价×</w:t>
            </w:r>
            <w:r>
              <w:rPr>
                <w:rFonts w:hint="eastAsia" w:ascii="宋体" w:hAnsi="宋体" w:eastAsia="宋体" w:cs="宋体"/>
                <w:color w:val="auto"/>
                <w:sz w:val="24"/>
                <w:szCs w:val="24"/>
                <w:highlight w:val="none"/>
                <w:lang w:val="en-US" w:eastAsia="zh-CN"/>
              </w:rPr>
              <w:t>65</w:t>
            </w:r>
            <w:r>
              <w:rPr>
                <w:rFonts w:hint="eastAsia" w:ascii="宋体" w:hAnsi="宋体" w:eastAsia="宋体" w:cs="宋体"/>
                <w:color w:val="auto"/>
                <w:sz w:val="24"/>
                <w:szCs w:val="24"/>
                <w:highlight w:val="none"/>
              </w:rPr>
              <w:t>%；</w:t>
            </w:r>
          </w:p>
          <w:p w14:paraId="07B26664">
            <w:pPr>
              <w:bidi w:val="0"/>
              <w:spacing w:line="360" w:lineRule="auto"/>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3.投标（响应）报价低于采购项目最高限价</w:t>
            </w:r>
            <w:r>
              <w:rPr>
                <w:rFonts w:hint="eastAsia" w:ascii="宋体" w:hAnsi="宋体" w:eastAsia="宋体" w:cs="宋体"/>
                <w:color w:val="auto"/>
                <w:sz w:val="24"/>
                <w:szCs w:val="24"/>
                <w:highlight w:val="none"/>
                <w:lang w:val="en-US" w:eastAsia="zh-CN"/>
              </w:rPr>
              <w:t>65</w:t>
            </w:r>
            <w:r>
              <w:rPr>
                <w:rFonts w:hint="eastAsia" w:ascii="宋体" w:hAnsi="宋体" w:eastAsia="宋体" w:cs="宋体"/>
                <w:color w:val="auto"/>
                <w:sz w:val="24"/>
                <w:szCs w:val="24"/>
                <w:highlight w:val="none"/>
              </w:rPr>
              <w:t>%的，即投标（响应）报价&lt;采购项目最高限价×</w:t>
            </w:r>
            <w:r>
              <w:rPr>
                <w:rFonts w:hint="eastAsia" w:ascii="宋体" w:hAnsi="宋体" w:eastAsia="宋体" w:cs="宋体"/>
                <w:color w:val="auto"/>
                <w:sz w:val="24"/>
                <w:szCs w:val="24"/>
                <w:highlight w:val="none"/>
                <w:lang w:val="en-US" w:eastAsia="zh-CN"/>
              </w:rPr>
              <w:t>65</w:t>
            </w:r>
            <w:r>
              <w:rPr>
                <w:rFonts w:hint="eastAsia" w:ascii="宋体" w:hAnsi="宋体" w:eastAsia="宋体" w:cs="宋体"/>
                <w:color w:val="auto"/>
                <w:sz w:val="24"/>
                <w:szCs w:val="24"/>
                <w:highlight w:val="none"/>
              </w:rPr>
              <w:t>%；</w:t>
            </w:r>
          </w:p>
          <w:p w14:paraId="013C5075">
            <w:pPr>
              <w:bidi w:val="0"/>
              <w:spacing w:line="360" w:lineRule="auto"/>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4.评审委员会基于专业判断，认为</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报价过低，有可能影响产品质量或者不能诚信履约的其他情形。</w:t>
            </w:r>
          </w:p>
          <w:p w14:paraId="3B7F664E">
            <w:pPr>
              <w:bidi w:val="0"/>
              <w:spacing w:line="360" w:lineRule="auto"/>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相关法律法规对</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报价有规定的，从其规定。</w:t>
            </w:r>
          </w:p>
          <w:p w14:paraId="69823870">
            <w:pPr>
              <w:bidi w:val="0"/>
              <w:spacing w:line="360" w:lineRule="auto"/>
              <w:ind w:left="0" w:leftChars="0" w:firstLine="0" w:firstLineChars="0"/>
              <w:rPr>
                <w:rFonts w:hint="eastAsia" w:ascii="宋体" w:hAnsi="宋体" w:eastAsia="宋体" w:cs="宋体"/>
                <w:color w:val="auto"/>
                <w:kern w:val="21"/>
                <w:sz w:val="24"/>
                <w:szCs w:val="24"/>
                <w:highlight w:val="none"/>
                <w:lang w:val="en-US" w:eastAsia="zh-CN" w:bidi="ar-SA"/>
              </w:rPr>
            </w:pPr>
            <w:r>
              <w:rPr>
                <w:rFonts w:hint="eastAsia" w:ascii="宋体" w:hAnsi="宋体" w:eastAsia="宋体" w:cs="宋体"/>
                <w:color w:val="auto"/>
                <w:sz w:val="24"/>
                <w:szCs w:val="24"/>
                <w:highlight w:val="none"/>
              </w:rPr>
              <w:t>（二）评审委员会启动异常低价投标（响应）审查后，属于前述第1项至第4项情形的，相关</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应在30分钟内对投标（响应）价格作出解释，提供项目具体成本测算等与报价合理性相关的书面说明及必要的证明材料，包括但不限于原材料成本、人工成本、制造费用等，其中，属于第3项情形，</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已随投标（响应）文件一并提交相关书面说明及必要的证明材料的，在评审现场可不再重复提交。</w:t>
            </w:r>
          </w:p>
        </w:tc>
      </w:tr>
      <w:tr w14:paraId="1EC650B2">
        <w:tblPrEx>
          <w:tblCellMar>
            <w:top w:w="0" w:type="dxa"/>
            <w:left w:w="108" w:type="dxa"/>
            <w:bottom w:w="0" w:type="dxa"/>
            <w:right w:w="108" w:type="dxa"/>
          </w:tblCellMar>
        </w:tblPrEx>
        <w:trPr>
          <w:trHeight w:val="567" w:hRule="atLeas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4E7818D2">
            <w:pPr>
              <w:numPr>
                <w:ilvl w:val="0"/>
                <w:numId w:val="1"/>
              </w:numPr>
              <w:autoSpaceDE w:val="0"/>
              <w:autoSpaceDN w:val="0"/>
              <w:spacing w:line="360" w:lineRule="auto"/>
              <w:ind w:left="0" w:firstLine="0" w:firstLineChars="0"/>
              <w:jc w:val="center"/>
              <w:rPr>
                <w:rFonts w:hint="eastAsia" w:ascii="宋体" w:hAnsi="宋体" w:eastAsia="宋体" w:cs="宋体"/>
                <w:color w:val="auto"/>
                <w:kern w:val="0"/>
                <w:sz w:val="24"/>
                <w:szCs w:val="24"/>
                <w:highlight w:val="none"/>
              </w:rPr>
            </w:pPr>
          </w:p>
        </w:tc>
        <w:tc>
          <w:tcPr>
            <w:tcW w:w="2137" w:type="dxa"/>
            <w:tcBorders>
              <w:top w:val="single" w:color="auto" w:sz="4" w:space="0"/>
              <w:left w:val="single" w:color="auto" w:sz="4" w:space="0"/>
              <w:bottom w:val="single" w:color="auto" w:sz="4" w:space="0"/>
              <w:right w:val="single" w:color="auto" w:sz="4" w:space="0"/>
            </w:tcBorders>
            <w:noWrap w:val="0"/>
            <w:vAlign w:val="center"/>
          </w:tcPr>
          <w:p w14:paraId="1EF6348C">
            <w:pPr>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代理服务费</w:t>
            </w:r>
          </w:p>
        </w:tc>
        <w:tc>
          <w:tcPr>
            <w:tcW w:w="6521" w:type="dxa"/>
            <w:tcBorders>
              <w:top w:val="single" w:color="auto" w:sz="4" w:space="0"/>
              <w:left w:val="single" w:color="auto" w:sz="4" w:space="0"/>
              <w:bottom w:val="single" w:color="auto" w:sz="4" w:space="0"/>
              <w:right w:val="single" w:color="auto" w:sz="4" w:space="0"/>
            </w:tcBorders>
            <w:noWrap w:val="0"/>
            <w:vAlign w:val="center"/>
          </w:tcPr>
          <w:p w14:paraId="4BE34EFD">
            <w:pPr>
              <w:autoSpaceDE w:val="0"/>
              <w:autoSpaceDN w:val="0"/>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参考国家发展计划委员会计价格【2002】1980号、发改办价格【2003】857号、《国家发展和改革委员会关于进一步放开建设项目专业服务的通知》发改价格【2015】299号文件由招标代理机构向中标人收取，按中标金额的2%收取。</w:t>
            </w:r>
          </w:p>
        </w:tc>
      </w:tr>
      <w:tr w14:paraId="166E6BA8">
        <w:tblPrEx>
          <w:tblCellMar>
            <w:top w:w="0" w:type="dxa"/>
            <w:left w:w="108" w:type="dxa"/>
            <w:bottom w:w="0" w:type="dxa"/>
            <w:right w:w="108" w:type="dxa"/>
          </w:tblCellMar>
        </w:tblPrEx>
        <w:trPr>
          <w:trHeight w:val="567" w:hRule="atLeas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0F9830E1">
            <w:pPr>
              <w:numPr>
                <w:ilvl w:val="0"/>
                <w:numId w:val="1"/>
              </w:numPr>
              <w:autoSpaceDE w:val="0"/>
              <w:autoSpaceDN w:val="0"/>
              <w:spacing w:line="360" w:lineRule="auto"/>
              <w:ind w:left="0" w:firstLine="0" w:firstLineChars="0"/>
              <w:jc w:val="center"/>
              <w:rPr>
                <w:rFonts w:hint="eastAsia" w:ascii="宋体" w:hAnsi="宋体" w:eastAsia="宋体" w:cs="宋体"/>
                <w:color w:val="auto"/>
                <w:kern w:val="0"/>
                <w:sz w:val="24"/>
                <w:szCs w:val="24"/>
                <w:highlight w:val="none"/>
              </w:rPr>
            </w:pPr>
          </w:p>
        </w:tc>
        <w:tc>
          <w:tcPr>
            <w:tcW w:w="2137" w:type="dxa"/>
            <w:tcBorders>
              <w:top w:val="single" w:color="auto" w:sz="4" w:space="0"/>
              <w:left w:val="single" w:color="auto" w:sz="4" w:space="0"/>
              <w:bottom w:val="single" w:color="auto" w:sz="4" w:space="0"/>
              <w:right w:val="single" w:color="auto" w:sz="4" w:space="0"/>
            </w:tcBorders>
            <w:noWrap w:val="0"/>
            <w:vAlign w:val="center"/>
          </w:tcPr>
          <w:p w14:paraId="61F53D80">
            <w:pPr>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落实的政府采购政策</w:t>
            </w:r>
          </w:p>
        </w:tc>
        <w:tc>
          <w:tcPr>
            <w:tcW w:w="6521" w:type="dxa"/>
            <w:tcBorders>
              <w:top w:val="single" w:color="auto" w:sz="4" w:space="0"/>
              <w:left w:val="single" w:color="auto" w:sz="4" w:space="0"/>
              <w:bottom w:val="single" w:color="auto" w:sz="4" w:space="0"/>
              <w:right w:val="single" w:color="auto" w:sz="4" w:space="0"/>
            </w:tcBorders>
            <w:noWrap w:val="0"/>
            <w:vAlign w:val="center"/>
          </w:tcPr>
          <w:p w14:paraId="5CD5ED4E">
            <w:pPr>
              <w:autoSpaceDE w:val="0"/>
              <w:autoSpaceDN w:val="0"/>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对于列入财政部、发展改革委、生态环境部发布的《环境标志产品品目清单》的产品，对其投标价格给予3%的价格扣除，并按照扣除后的价格参加评审。采购项目或者分包中既包含环境标志产品也包含非环境标志产品的，只对列入《环境标志产品品目清单》的产品按其在总报价中所占的比例给予价格扣除。</w:t>
            </w:r>
          </w:p>
          <w:p w14:paraId="12558AEE">
            <w:pPr>
              <w:autoSpaceDE w:val="0"/>
              <w:autoSpaceDN w:val="0"/>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对于列入财政部、发展改革委、生态环境部发布的《节能产品品目清单》但不属于国家强制采购的产品，对其投标价格给予3%的价格扣除，并按照扣除后的价格参加评审。采购项目或者分包中既包含节能产品也包含非节能产品的，只对列入《节能产品品目清单》但不属于国家强制采购的产品按其在总报价中所占的比例给予价格扣除。</w:t>
            </w:r>
          </w:p>
          <w:p w14:paraId="2C648E27">
            <w:pPr>
              <w:autoSpaceDE w:val="0"/>
              <w:autoSpaceDN w:val="0"/>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对于列入财政部、国家发改委、信息产业部发布的《无线局域网认证产品政府采购清单》的产品，对其投标价格给予3%的价格扣除，并按扣除后的价格参加评审。采购项目或者分包中既包含清单中产品也包含非清单中产品的，只对列入清单的产品按其在总报价中所占的比例给予价格扣除。</w:t>
            </w:r>
          </w:p>
          <w:p w14:paraId="6FB0B98C">
            <w:pPr>
              <w:autoSpaceDE w:val="0"/>
              <w:autoSpaceDN w:val="0"/>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（4）投标产品同时列入上述多个清单的，将上述规定的价格扣除比例叠加后计算价格扣除。</w:t>
            </w:r>
          </w:p>
          <w:p w14:paraId="17795B37">
            <w:pPr>
              <w:autoSpaceDE w:val="0"/>
              <w:autoSpaceDN w:val="0"/>
              <w:spacing w:line="360" w:lineRule="auto"/>
              <w:ind w:firstLine="0" w:firstLineChars="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（5）根据财库【2020】46号文件规定，对小型和微型企业的投标报价给予10%的价格扣除，并按照扣除后的价格参加评审。</w:t>
            </w:r>
            <w:r>
              <w:rPr>
                <w:rFonts w:hint="eastAsia" w:hAnsi="宋体" w:cs="宋体"/>
                <w:color w:val="auto"/>
                <w:sz w:val="24"/>
                <w:szCs w:val="24"/>
                <w:highlight w:val="none"/>
                <w:lang w:eastAsia="zh-CN"/>
              </w:rPr>
              <w:t>（</w:t>
            </w:r>
            <w:r>
              <w:rPr>
                <w:rFonts w:hint="eastAsia" w:hAnsi="宋体" w:cs="宋体"/>
                <w:color w:val="auto"/>
                <w:sz w:val="24"/>
                <w:szCs w:val="24"/>
                <w:highlight w:val="none"/>
                <w:lang w:val="en-US" w:eastAsia="zh-CN"/>
              </w:rPr>
              <w:t>本项目不适用）</w:t>
            </w:r>
          </w:p>
          <w:p w14:paraId="7B1DC46E">
            <w:pPr>
              <w:autoSpaceDE w:val="0"/>
              <w:autoSpaceDN w:val="0"/>
              <w:spacing w:line="360" w:lineRule="auto"/>
              <w:ind w:firstLine="0" w:firstLineChars="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6）《财政部司法部关于政府采购支持监狱企业发展有关问题的通知》文件规定，在政府采购活动中，监狱企业视同小型、微型企业，享受预留份额、评审中价格扣除等政府采购促进中小企业发展的政府采购政策。对监狱企业的投标报价给予3%的价格扣除，并按照扣除后的价格参加评审。</w:t>
            </w:r>
            <w:r>
              <w:rPr>
                <w:rFonts w:hint="eastAsia" w:hAnsi="宋体" w:cs="宋体"/>
                <w:color w:val="auto"/>
                <w:sz w:val="24"/>
                <w:szCs w:val="24"/>
                <w:highlight w:val="none"/>
                <w:lang w:eastAsia="zh-CN"/>
              </w:rPr>
              <w:t>（</w:t>
            </w:r>
            <w:r>
              <w:rPr>
                <w:rFonts w:hint="eastAsia" w:hAnsi="宋体" w:cs="宋体"/>
                <w:color w:val="auto"/>
                <w:sz w:val="24"/>
                <w:szCs w:val="24"/>
                <w:highlight w:val="none"/>
                <w:lang w:val="en-US" w:eastAsia="zh-CN"/>
              </w:rPr>
              <w:t>本项目不适用）</w:t>
            </w:r>
          </w:p>
          <w:p w14:paraId="27334CC8">
            <w:pPr>
              <w:autoSpaceDE w:val="0"/>
              <w:autoSpaceDN w:val="0"/>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关于促进残疾人就业政府采购政策的通知》（财库〔2017〕141号），在政府采购活动中，残疾人福利性单位视同小型、微型企业，对残疾人福利性单位的投标报价给予3%的价格扣除，并按照扣除后的价格参评加审。</w:t>
            </w:r>
            <w:r>
              <w:rPr>
                <w:rFonts w:hint="eastAsia" w:hAnsi="宋体" w:cs="宋体"/>
                <w:color w:val="auto"/>
                <w:sz w:val="24"/>
                <w:szCs w:val="24"/>
                <w:highlight w:val="none"/>
                <w:lang w:eastAsia="zh-CN"/>
              </w:rPr>
              <w:t>（</w:t>
            </w:r>
            <w:r>
              <w:rPr>
                <w:rFonts w:hint="eastAsia" w:hAnsi="宋体" w:cs="宋体"/>
                <w:color w:val="auto"/>
                <w:sz w:val="24"/>
                <w:szCs w:val="24"/>
                <w:highlight w:val="none"/>
                <w:lang w:val="en-US" w:eastAsia="zh-CN"/>
              </w:rPr>
              <w:t>本项目不适用）</w:t>
            </w:r>
          </w:p>
          <w:p w14:paraId="62C76265">
            <w:pPr>
              <w:autoSpaceDE w:val="0"/>
              <w:autoSpaceDN w:val="0"/>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（8）价格扣除的依据：第（1）至（4）条提供投标货物相关认证证书复印件加盖</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公章。第（5）条提供中小企业声明函（格式参照财库【2020】46号文件规定格式）复印件加盖</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公章，第（6）条应当提供由省级以上监狱管理局、戒毒管理局（含新疆生产建设兵团）出具的属于监狱企业的证明文件复印件加盖</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公章。第（7）条执行财库〔2017〕141号文件规定，第（5）条与第（6）条、第（7）条政策不能叠加扣除。</w:t>
            </w:r>
          </w:p>
          <w:p w14:paraId="6B4B5BD2">
            <w:pPr>
              <w:autoSpaceDE w:val="0"/>
              <w:autoSpaceDN w:val="0"/>
              <w:spacing w:line="360" w:lineRule="auto"/>
              <w:ind w:firstLine="0" w:firstLineChars="0"/>
              <w:rPr>
                <w:rFonts w:hint="eastAsia" w:ascii="宋体" w:hAnsi="宋体" w:eastAsia="宋体" w:cs="宋体"/>
                <w:color w:val="auto"/>
                <w:sz w:val="24"/>
                <w:szCs w:val="24"/>
                <w:highlight w:val="none"/>
              </w:rPr>
            </w:pPr>
            <w:r>
              <w:rPr>
                <w:rFonts w:hint="eastAsia" w:hAnsi="宋体" w:cs="宋体"/>
                <w:color w:val="auto"/>
                <w:sz w:val="24"/>
                <w:szCs w:val="24"/>
                <w:highlight w:val="none"/>
                <w:lang w:val="en-US" w:eastAsia="zh-CN"/>
              </w:rPr>
              <w:t>本项目</w:t>
            </w:r>
            <w:r>
              <w:rPr>
                <w:rFonts w:hint="eastAsia" w:ascii="宋体" w:hAnsi="宋体" w:eastAsia="宋体" w:cs="宋体"/>
                <w:color w:val="auto"/>
                <w:sz w:val="24"/>
                <w:szCs w:val="24"/>
                <w:highlight w:val="none"/>
              </w:rPr>
              <w:t>专门面向中小企业采购项目，不享受价格扣除。</w:t>
            </w:r>
          </w:p>
          <w:p w14:paraId="20B353B8">
            <w:pPr>
              <w:autoSpaceDE w:val="0"/>
              <w:autoSpaceDN w:val="0"/>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（9）中小企业认定标准：工信部联企业【2011】300号</w:t>
            </w:r>
          </w:p>
          <w:p w14:paraId="16FEF4E9">
            <w:pPr>
              <w:autoSpaceDE w:val="0"/>
              <w:autoSpaceDN w:val="0"/>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lang w:val="zh-CN"/>
              </w:rPr>
              <w:t>（</w:t>
            </w:r>
            <w:r>
              <w:rPr>
                <w:rFonts w:hint="eastAsia" w:ascii="宋体" w:hAnsi="宋体" w:eastAsia="宋体" w:cs="宋体"/>
                <w:bCs/>
                <w:color w:val="auto"/>
                <w:sz w:val="24"/>
                <w:szCs w:val="24"/>
                <w:highlight w:val="none"/>
              </w:rPr>
              <w:t>10</w:t>
            </w:r>
            <w:r>
              <w:rPr>
                <w:rFonts w:hint="eastAsia" w:ascii="宋体" w:hAnsi="宋体" w:eastAsia="宋体" w:cs="宋体"/>
                <w:bCs/>
                <w:color w:val="auto"/>
                <w:sz w:val="24"/>
                <w:szCs w:val="24"/>
                <w:highlight w:val="none"/>
                <w:lang w:val="zh-CN"/>
              </w:rPr>
              <w:t>）《关于进一步加大政府采购支持中小企业力度的通知》财库〔2022〕19号文件等国家最新政策</w:t>
            </w:r>
          </w:p>
        </w:tc>
      </w:tr>
      <w:tr w14:paraId="16C77A28">
        <w:tblPrEx>
          <w:tblCellMar>
            <w:top w:w="0" w:type="dxa"/>
            <w:left w:w="108" w:type="dxa"/>
            <w:bottom w:w="0" w:type="dxa"/>
            <w:right w:w="108" w:type="dxa"/>
          </w:tblCellMar>
        </w:tblPrEx>
        <w:trPr>
          <w:trHeight w:val="567" w:hRule="atLeas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713C81C9">
            <w:pPr>
              <w:numPr>
                <w:ilvl w:val="0"/>
                <w:numId w:val="1"/>
              </w:numPr>
              <w:autoSpaceDE w:val="0"/>
              <w:autoSpaceDN w:val="0"/>
              <w:spacing w:line="360" w:lineRule="auto"/>
              <w:ind w:left="0" w:firstLine="0" w:firstLineChars="0"/>
              <w:jc w:val="center"/>
              <w:rPr>
                <w:rFonts w:hint="eastAsia" w:ascii="宋体" w:hAnsi="宋体" w:eastAsia="宋体" w:cs="宋体"/>
                <w:color w:val="auto"/>
                <w:kern w:val="0"/>
                <w:sz w:val="24"/>
                <w:szCs w:val="24"/>
                <w:highlight w:val="none"/>
              </w:rPr>
            </w:pPr>
          </w:p>
        </w:tc>
        <w:tc>
          <w:tcPr>
            <w:tcW w:w="2137" w:type="dxa"/>
            <w:tcBorders>
              <w:top w:val="single" w:color="auto" w:sz="4" w:space="0"/>
              <w:left w:val="single" w:color="auto" w:sz="4" w:space="0"/>
              <w:bottom w:val="single" w:color="auto" w:sz="4" w:space="0"/>
              <w:right w:val="single" w:color="auto" w:sz="4" w:space="0"/>
            </w:tcBorders>
            <w:noWrap w:val="0"/>
            <w:vAlign w:val="center"/>
          </w:tcPr>
          <w:p w14:paraId="4C9B6479">
            <w:pPr>
              <w:spacing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w:t>
            </w:r>
          </w:p>
        </w:tc>
        <w:tc>
          <w:tcPr>
            <w:tcW w:w="6521" w:type="dxa"/>
            <w:tcBorders>
              <w:top w:val="single" w:color="auto" w:sz="4" w:space="0"/>
              <w:left w:val="single" w:color="auto" w:sz="4" w:space="0"/>
              <w:bottom w:val="single" w:color="auto" w:sz="4" w:space="0"/>
              <w:right w:val="single" w:color="auto" w:sz="4" w:space="0"/>
            </w:tcBorders>
            <w:noWrap w:val="0"/>
            <w:vAlign w:val="center"/>
          </w:tcPr>
          <w:p w14:paraId="5A32F536">
            <w:pPr>
              <w:spacing w:line="360" w:lineRule="auto"/>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本项目执行政府强制、优先采购节能产品，优先采购环境标志产品。本项目不允许采购进口产品。</w:t>
            </w:r>
          </w:p>
        </w:tc>
      </w:tr>
      <w:tr w14:paraId="540206FA">
        <w:tblPrEx>
          <w:tblCellMar>
            <w:top w:w="0" w:type="dxa"/>
            <w:left w:w="108" w:type="dxa"/>
            <w:bottom w:w="0" w:type="dxa"/>
            <w:right w:w="108" w:type="dxa"/>
          </w:tblCellMar>
        </w:tblPrEx>
        <w:trPr>
          <w:trHeight w:val="567" w:hRule="atLeas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4029C885">
            <w:pPr>
              <w:numPr>
                <w:ilvl w:val="0"/>
                <w:numId w:val="1"/>
              </w:numPr>
              <w:autoSpaceDE w:val="0"/>
              <w:autoSpaceDN w:val="0"/>
              <w:spacing w:line="360" w:lineRule="auto"/>
              <w:ind w:left="0" w:firstLine="0" w:firstLineChars="0"/>
              <w:jc w:val="center"/>
              <w:rPr>
                <w:rFonts w:hint="eastAsia" w:ascii="宋体" w:hAnsi="宋体" w:eastAsia="宋体" w:cs="宋体"/>
                <w:color w:val="auto"/>
                <w:kern w:val="0"/>
                <w:sz w:val="24"/>
                <w:szCs w:val="24"/>
                <w:highlight w:val="none"/>
              </w:rPr>
            </w:pPr>
          </w:p>
        </w:tc>
        <w:tc>
          <w:tcPr>
            <w:tcW w:w="2137" w:type="dxa"/>
            <w:tcBorders>
              <w:top w:val="single" w:color="auto" w:sz="4" w:space="0"/>
              <w:left w:val="single" w:color="auto" w:sz="4" w:space="0"/>
              <w:bottom w:val="single" w:color="auto" w:sz="4" w:space="0"/>
              <w:right w:val="single" w:color="auto" w:sz="4" w:space="0"/>
            </w:tcBorders>
            <w:noWrap w:val="0"/>
            <w:vAlign w:val="top"/>
          </w:tcPr>
          <w:p w14:paraId="35A5DE36">
            <w:pPr>
              <w:spacing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中小企业划分标准所属行业</w:t>
            </w:r>
          </w:p>
        </w:tc>
        <w:tc>
          <w:tcPr>
            <w:tcW w:w="6521" w:type="dxa"/>
            <w:tcBorders>
              <w:top w:val="single" w:color="auto" w:sz="4" w:space="0"/>
              <w:left w:val="single" w:color="auto" w:sz="4" w:space="0"/>
              <w:bottom w:val="single" w:color="auto" w:sz="4" w:space="0"/>
              <w:right w:val="single" w:color="auto" w:sz="4" w:space="0"/>
            </w:tcBorders>
            <w:noWrap w:val="0"/>
            <w:vAlign w:val="center"/>
          </w:tcPr>
          <w:p w14:paraId="1CA64774">
            <w:pPr>
              <w:spacing w:line="360" w:lineRule="auto"/>
              <w:ind w:firstLine="0" w:firstLineChars="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工业</w:t>
            </w:r>
          </w:p>
        </w:tc>
      </w:tr>
      <w:tr w14:paraId="30E67BCC">
        <w:tblPrEx>
          <w:tblCellMar>
            <w:top w:w="0" w:type="dxa"/>
            <w:left w:w="108" w:type="dxa"/>
            <w:bottom w:w="0" w:type="dxa"/>
            <w:right w:w="108" w:type="dxa"/>
          </w:tblCellMar>
        </w:tblPrEx>
        <w:trPr>
          <w:trHeight w:val="567" w:hRule="atLeast"/>
          <w:jc w:val="center"/>
        </w:trPr>
        <w:tc>
          <w:tcPr>
            <w:tcW w:w="101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AB06CE">
            <w:pPr>
              <w:numPr>
                <w:ilvl w:val="0"/>
                <w:numId w:val="1"/>
              </w:numPr>
              <w:autoSpaceDE w:val="0"/>
              <w:autoSpaceDN w:val="0"/>
              <w:spacing w:line="360" w:lineRule="auto"/>
              <w:ind w:left="0" w:firstLine="0" w:firstLineChars="0"/>
              <w:jc w:val="center"/>
              <w:rPr>
                <w:rFonts w:hint="eastAsia" w:ascii="宋体" w:hAnsi="宋体" w:eastAsia="宋体" w:cs="宋体"/>
                <w:color w:val="auto"/>
                <w:kern w:val="0"/>
                <w:sz w:val="24"/>
                <w:szCs w:val="24"/>
                <w:highlight w:val="none"/>
              </w:rPr>
            </w:pPr>
          </w:p>
        </w:tc>
        <w:tc>
          <w:tcPr>
            <w:tcW w:w="213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BB14ECD">
            <w:pPr>
              <w:spacing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电子标说明</w:t>
            </w:r>
          </w:p>
        </w:tc>
        <w:tc>
          <w:tcPr>
            <w:tcW w:w="652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8C1EFB">
            <w:pPr>
              <w:spacing w:line="360" w:lineRule="auto"/>
              <w:ind w:firstLine="0" w:firstLineChars="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上传的电子证件及资料均需按要求签字盖章上传，否则按未签章处理。</w:t>
            </w:r>
          </w:p>
          <w:p w14:paraId="0E5B9FA8">
            <w:pPr>
              <w:spacing w:line="360" w:lineRule="auto"/>
              <w:ind w:firstLine="0" w:firstLineChars="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投标文件电子版方面技术支持：400-8817190</w:t>
            </w:r>
          </w:p>
          <w:p w14:paraId="25D95718">
            <w:pPr>
              <w:spacing w:line="360" w:lineRule="auto"/>
              <w:ind w:firstLine="0" w:firstLineChars="0"/>
              <w:rPr>
                <w:rFonts w:hint="eastAsia" w:ascii="宋体" w:hAnsi="宋体" w:eastAsia="宋体" w:cs="宋体"/>
                <w:color w:val="auto"/>
                <w:sz w:val="24"/>
                <w:szCs w:val="24"/>
                <w:highlight w:val="none"/>
                <w:lang w:eastAsia="zh-CN"/>
              </w:rPr>
            </w:pPr>
            <w:r>
              <w:rPr>
                <w:rFonts w:hint="eastAsia" w:ascii="宋体" w:hAnsi="宋体" w:eastAsia="宋体" w:cs="宋体"/>
                <w:bCs/>
                <w:color w:val="auto"/>
                <w:sz w:val="24"/>
                <w:szCs w:val="24"/>
                <w:highlight w:val="none"/>
              </w:rPr>
              <w:t>投标人在政府采购云平台（网址：http:// www.zcygov.cn）通过数字证书制作投标文件</w:t>
            </w:r>
            <w:r>
              <w:rPr>
                <w:rFonts w:hint="eastAsia" w:hAnsi="宋体" w:cs="宋体"/>
                <w:bCs/>
                <w:color w:val="auto"/>
                <w:sz w:val="24"/>
                <w:szCs w:val="24"/>
                <w:highlight w:val="none"/>
                <w:lang w:eastAsia="zh-CN"/>
              </w:rPr>
              <w:t>。</w:t>
            </w:r>
          </w:p>
        </w:tc>
      </w:tr>
      <w:tr w14:paraId="3182D8BE">
        <w:tblPrEx>
          <w:tblCellMar>
            <w:top w:w="0" w:type="dxa"/>
            <w:left w:w="108" w:type="dxa"/>
            <w:bottom w:w="0" w:type="dxa"/>
            <w:right w:w="108" w:type="dxa"/>
          </w:tblCellMar>
        </w:tblPrEx>
        <w:trPr>
          <w:trHeight w:val="567" w:hRule="atLeas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01766CE1">
            <w:pPr>
              <w:numPr>
                <w:ilvl w:val="0"/>
                <w:numId w:val="1"/>
              </w:numPr>
              <w:autoSpaceDE w:val="0"/>
              <w:autoSpaceDN w:val="0"/>
              <w:spacing w:line="360" w:lineRule="auto"/>
              <w:ind w:left="0" w:firstLine="0" w:firstLineChars="0"/>
              <w:jc w:val="center"/>
              <w:rPr>
                <w:rFonts w:hint="eastAsia" w:ascii="宋体" w:hAnsi="宋体" w:eastAsia="宋体" w:cs="宋体"/>
                <w:color w:val="auto"/>
                <w:kern w:val="0"/>
                <w:sz w:val="24"/>
                <w:szCs w:val="24"/>
                <w:highlight w:val="none"/>
              </w:rPr>
            </w:pPr>
          </w:p>
        </w:tc>
        <w:tc>
          <w:tcPr>
            <w:tcW w:w="2137" w:type="dxa"/>
            <w:tcBorders>
              <w:top w:val="single" w:color="auto" w:sz="4" w:space="0"/>
              <w:left w:val="single" w:color="auto" w:sz="4" w:space="0"/>
              <w:bottom w:val="single" w:color="auto" w:sz="4" w:space="0"/>
              <w:right w:val="single" w:color="auto" w:sz="4" w:space="0"/>
            </w:tcBorders>
            <w:noWrap w:val="0"/>
            <w:vAlign w:val="center"/>
          </w:tcPr>
          <w:p w14:paraId="6DACC8EF">
            <w:pPr>
              <w:spacing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投标文件</w:t>
            </w:r>
          </w:p>
          <w:p w14:paraId="46B1C0FF">
            <w:pPr>
              <w:spacing w:line="36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远程解密方式</w:t>
            </w:r>
          </w:p>
        </w:tc>
        <w:tc>
          <w:tcPr>
            <w:tcW w:w="6521" w:type="dxa"/>
            <w:tcBorders>
              <w:top w:val="single" w:color="auto" w:sz="4" w:space="0"/>
              <w:left w:val="single" w:color="auto" w:sz="4" w:space="0"/>
              <w:bottom w:val="single" w:color="auto" w:sz="4" w:space="0"/>
              <w:right w:val="single" w:color="auto" w:sz="4" w:space="0"/>
            </w:tcBorders>
            <w:noWrap w:val="0"/>
            <w:vAlign w:val="center"/>
          </w:tcPr>
          <w:p w14:paraId="54C2BFEE">
            <w:pPr>
              <w:spacing w:line="360" w:lineRule="auto"/>
              <w:ind w:firstLine="0" w:firstLineChars="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本项目采用“政采云”平台（http：//www.zcygov.cn）不见面开标大厅进行远程采购活动。</w:t>
            </w:r>
          </w:p>
          <w:p w14:paraId="4E7F5838">
            <w:pPr>
              <w:spacing w:line="360" w:lineRule="auto"/>
              <w:ind w:firstLine="0" w:firstLineChars="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投标文件远程解密方式：</w:t>
            </w:r>
          </w:p>
          <w:p w14:paraId="1EEB8793">
            <w:pPr>
              <w:spacing w:line="360" w:lineRule="auto"/>
              <w:ind w:firstLine="0" w:firstLineChars="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⑴公布</w:t>
            </w:r>
            <w:r>
              <w:rPr>
                <w:rFonts w:hint="eastAsia" w:ascii="宋体" w:hAnsi="宋体" w:eastAsia="宋体" w:cs="宋体"/>
                <w:bCs/>
                <w:color w:val="auto"/>
                <w:sz w:val="24"/>
                <w:szCs w:val="24"/>
                <w:highlight w:val="none"/>
                <w:lang w:eastAsia="zh-CN"/>
              </w:rPr>
              <w:t>投标人</w:t>
            </w:r>
            <w:r>
              <w:rPr>
                <w:rFonts w:hint="eastAsia" w:ascii="宋体" w:hAnsi="宋体" w:eastAsia="宋体" w:cs="宋体"/>
                <w:bCs/>
                <w:color w:val="auto"/>
                <w:sz w:val="24"/>
                <w:szCs w:val="24"/>
                <w:highlight w:val="none"/>
              </w:rPr>
              <w:t>名单后</w:t>
            </w:r>
            <w:r>
              <w:rPr>
                <w:rFonts w:hint="eastAsia" w:ascii="宋体" w:hAnsi="宋体" w:eastAsia="宋体" w:cs="宋体"/>
                <w:bCs/>
                <w:color w:val="auto"/>
                <w:sz w:val="24"/>
                <w:szCs w:val="24"/>
                <w:highlight w:val="none"/>
                <w:lang w:val="en-US" w:eastAsia="zh-CN"/>
              </w:rPr>
              <w:t>3</w:t>
            </w:r>
            <w:r>
              <w:rPr>
                <w:rFonts w:hint="eastAsia" w:ascii="宋体" w:hAnsi="宋体" w:eastAsia="宋体" w:cs="宋体"/>
                <w:bCs/>
                <w:color w:val="auto"/>
                <w:sz w:val="24"/>
                <w:szCs w:val="24"/>
                <w:highlight w:val="none"/>
              </w:rPr>
              <w:t>0分钟内，由</w:t>
            </w:r>
            <w:r>
              <w:rPr>
                <w:rFonts w:hint="eastAsia" w:ascii="宋体" w:hAnsi="宋体" w:eastAsia="宋体" w:cs="宋体"/>
                <w:bCs/>
                <w:color w:val="auto"/>
                <w:sz w:val="24"/>
                <w:szCs w:val="24"/>
                <w:highlight w:val="none"/>
                <w:lang w:eastAsia="zh-CN"/>
              </w:rPr>
              <w:t>投标人</w:t>
            </w:r>
            <w:r>
              <w:rPr>
                <w:rFonts w:hint="eastAsia" w:ascii="宋体" w:hAnsi="宋体" w:eastAsia="宋体" w:cs="宋体"/>
                <w:bCs/>
                <w:color w:val="auto"/>
                <w:sz w:val="24"/>
                <w:szCs w:val="24"/>
                <w:highlight w:val="none"/>
              </w:rPr>
              <w:t>持制作该电子投标文件的相同数字证书（CA锁）及电脑进行远程解密（各</w:t>
            </w:r>
            <w:r>
              <w:rPr>
                <w:rFonts w:hint="eastAsia" w:ascii="宋体" w:hAnsi="宋体" w:eastAsia="宋体" w:cs="宋体"/>
                <w:bCs/>
                <w:color w:val="auto"/>
                <w:sz w:val="24"/>
                <w:szCs w:val="24"/>
                <w:highlight w:val="none"/>
                <w:lang w:eastAsia="zh-CN"/>
              </w:rPr>
              <w:t>投标人</w:t>
            </w:r>
            <w:r>
              <w:rPr>
                <w:rFonts w:hint="eastAsia" w:ascii="宋体" w:hAnsi="宋体" w:eastAsia="宋体" w:cs="宋体"/>
                <w:bCs/>
                <w:color w:val="auto"/>
                <w:sz w:val="24"/>
                <w:szCs w:val="24"/>
                <w:highlight w:val="none"/>
              </w:rPr>
              <w:t>在投标文件提交截止时间前及“政采云”系统公布</w:t>
            </w:r>
            <w:r>
              <w:rPr>
                <w:rFonts w:hint="eastAsia" w:ascii="宋体" w:hAnsi="宋体" w:eastAsia="宋体" w:cs="宋体"/>
                <w:bCs/>
                <w:color w:val="auto"/>
                <w:sz w:val="24"/>
                <w:szCs w:val="24"/>
                <w:highlight w:val="none"/>
                <w:lang w:eastAsia="zh-CN"/>
              </w:rPr>
              <w:t>投标人</w:t>
            </w:r>
            <w:r>
              <w:rPr>
                <w:rFonts w:hint="eastAsia" w:ascii="宋体" w:hAnsi="宋体" w:eastAsia="宋体" w:cs="宋体"/>
                <w:bCs/>
                <w:color w:val="auto"/>
                <w:sz w:val="24"/>
                <w:szCs w:val="24"/>
                <w:highlight w:val="none"/>
              </w:rPr>
              <w:t>名单前，不要提前进行远程解密）。</w:t>
            </w:r>
          </w:p>
          <w:p w14:paraId="1AC419AE">
            <w:pPr>
              <w:spacing w:line="360" w:lineRule="auto"/>
              <w:ind w:firstLine="0" w:firstLineChars="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⑵投标文件解密截止时间后，“政采云”平台公布投标报价信息，</w:t>
            </w:r>
            <w:r>
              <w:rPr>
                <w:rFonts w:hint="eastAsia" w:ascii="宋体" w:hAnsi="宋体" w:eastAsia="宋体" w:cs="宋体"/>
                <w:bCs/>
                <w:color w:val="auto"/>
                <w:sz w:val="24"/>
                <w:szCs w:val="24"/>
                <w:highlight w:val="none"/>
                <w:lang w:eastAsia="zh-CN"/>
              </w:rPr>
              <w:t>投标人</w:t>
            </w:r>
            <w:r>
              <w:rPr>
                <w:rFonts w:hint="eastAsia" w:ascii="宋体" w:hAnsi="宋体" w:eastAsia="宋体" w:cs="宋体"/>
                <w:bCs/>
                <w:color w:val="auto"/>
                <w:sz w:val="24"/>
                <w:szCs w:val="24"/>
                <w:highlight w:val="none"/>
              </w:rPr>
              <w:t>需持企业数字证书登录“政采云”平台在线确认投标报价信息。</w:t>
            </w:r>
          </w:p>
          <w:p w14:paraId="7A7DA645">
            <w:pPr>
              <w:spacing w:line="360" w:lineRule="auto"/>
              <w:ind w:firstLine="0" w:firstLineChars="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⑶因投标</w:t>
            </w:r>
            <w:r>
              <w:rPr>
                <w:rFonts w:hint="eastAsia" w:ascii="宋体" w:hAnsi="宋体" w:eastAsia="宋体" w:cs="宋体"/>
                <w:bCs/>
                <w:color w:val="auto"/>
                <w:sz w:val="24"/>
                <w:szCs w:val="24"/>
                <w:highlight w:val="none"/>
                <w:lang w:eastAsia="zh-CN"/>
              </w:rPr>
              <w:t>投标人</w:t>
            </w:r>
            <w:r>
              <w:rPr>
                <w:rFonts w:hint="eastAsia" w:ascii="宋体" w:hAnsi="宋体" w:eastAsia="宋体" w:cs="宋体"/>
                <w:bCs/>
                <w:color w:val="auto"/>
                <w:sz w:val="24"/>
                <w:szCs w:val="24"/>
                <w:highlight w:val="none"/>
              </w:rPr>
              <w:t>自身原因未能按时完成解密的，视为逾期未提交投标文件，其投标无效。</w:t>
            </w:r>
          </w:p>
        </w:tc>
      </w:tr>
      <w:tr w14:paraId="54015D12">
        <w:tblPrEx>
          <w:tblCellMar>
            <w:top w:w="0" w:type="dxa"/>
            <w:left w:w="108" w:type="dxa"/>
            <w:bottom w:w="0" w:type="dxa"/>
            <w:right w:w="108" w:type="dxa"/>
          </w:tblCellMar>
        </w:tblPrEx>
        <w:trPr>
          <w:trHeight w:val="567" w:hRule="atLeas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3F5E4A99">
            <w:pPr>
              <w:numPr>
                <w:ilvl w:val="0"/>
                <w:numId w:val="1"/>
              </w:numPr>
              <w:autoSpaceDE w:val="0"/>
              <w:autoSpaceDN w:val="0"/>
              <w:spacing w:line="360" w:lineRule="auto"/>
              <w:ind w:left="0" w:firstLine="0" w:firstLineChars="0"/>
              <w:jc w:val="center"/>
              <w:rPr>
                <w:rFonts w:hint="eastAsia" w:ascii="宋体" w:hAnsi="宋体" w:eastAsia="宋体" w:cs="宋体"/>
                <w:color w:val="auto"/>
                <w:kern w:val="0"/>
                <w:sz w:val="24"/>
                <w:szCs w:val="24"/>
                <w:highlight w:val="none"/>
              </w:rPr>
            </w:pPr>
          </w:p>
        </w:tc>
        <w:tc>
          <w:tcPr>
            <w:tcW w:w="8658" w:type="dxa"/>
            <w:gridSpan w:val="2"/>
            <w:tcBorders>
              <w:top w:val="single" w:color="auto" w:sz="4" w:space="0"/>
              <w:left w:val="single" w:color="auto" w:sz="4" w:space="0"/>
              <w:bottom w:val="single" w:color="auto" w:sz="4" w:space="0"/>
              <w:right w:val="single" w:color="auto" w:sz="4" w:space="0"/>
            </w:tcBorders>
            <w:noWrap w:val="0"/>
            <w:vAlign w:val="center"/>
          </w:tcPr>
          <w:p w14:paraId="4186E371">
            <w:pPr>
              <w:spacing w:line="360" w:lineRule="auto"/>
              <w:ind w:firstLine="0" w:firstLineChars="0"/>
              <w:rPr>
                <w:rFonts w:hint="eastAsia" w:ascii="宋体" w:hAnsi="宋体" w:eastAsia="宋体" w:cs="宋体"/>
                <w:b w:val="0"/>
                <w:bCs/>
                <w:color w:val="auto"/>
                <w:sz w:val="24"/>
                <w:szCs w:val="24"/>
                <w:highlight w:val="none"/>
                <w:lang w:val="en-US" w:eastAsia="zh-CN"/>
              </w:rPr>
            </w:pPr>
            <w:r>
              <w:rPr>
                <w:rFonts w:hint="eastAsia" w:ascii="宋体" w:hAnsi="宋体" w:eastAsia="宋体" w:cs="宋体"/>
                <w:color w:val="auto"/>
                <w:sz w:val="24"/>
                <w:szCs w:val="24"/>
                <w:highlight w:val="none"/>
                <w:lang w:bidi="ar"/>
              </w:rPr>
              <w:t>无论招标文件采购需求中是否要求，投标人所投货物均应符合国家强制性标准。</w:t>
            </w:r>
          </w:p>
        </w:tc>
      </w:tr>
      <w:tr w14:paraId="271D4A77">
        <w:tblPrEx>
          <w:tblCellMar>
            <w:top w:w="0" w:type="dxa"/>
            <w:left w:w="108" w:type="dxa"/>
            <w:bottom w:w="0" w:type="dxa"/>
            <w:right w:w="108" w:type="dxa"/>
          </w:tblCellMar>
        </w:tblPrEx>
        <w:trPr>
          <w:trHeight w:val="567" w:hRule="atLeast"/>
          <w:jc w:val="center"/>
        </w:trPr>
        <w:tc>
          <w:tcPr>
            <w:tcW w:w="1015" w:type="dxa"/>
            <w:tcBorders>
              <w:top w:val="single" w:color="auto" w:sz="4" w:space="0"/>
              <w:left w:val="single" w:color="auto" w:sz="4" w:space="0"/>
              <w:bottom w:val="single" w:color="auto" w:sz="4" w:space="0"/>
              <w:right w:val="single" w:color="auto" w:sz="4" w:space="0"/>
            </w:tcBorders>
            <w:noWrap w:val="0"/>
            <w:vAlign w:val="center"/>
          </w:tcPr>
          <w:p w14:paraId="07E9211F">
            <w:pPr>
              <w:numPr>
                <w:ilvl w:val="0"/>
                <w:numId w:val="1"/>
              </w:numPr>
              <w:autoSpaceDE w:val="0"/>
              <w:autoSpaceDN w:val="0"/>
              <w:spacing w:line="360" w:lineRule="auto"/>
              <w:ind w:left="0" w:firstLine="0" w:firstLineChars="0"/>
              <w:jc w:val="center"/>
              <w:rPr>
                <w:rFonts w:hint="eastAsia" w:ascii="宋体" w:hAnsi="宋体" w:eastAsia="宋体" w:cs="宋体"/>
                <w:color w:val="auto"/>
                <w:kern w:val="0"/>
                <w:sz w:val="24"/>
                <w:szCs w:val="24"/>
                <w:highlight w:val="none"/>
              </w:rPr>
            </w:pPr>
          </w:p>
        </w:tc>
        <w:tc>
          <w:tcPr>
            <w:tcW w:w="8658" w:type="dxa"/>
            <w:gridSpan w:val="2"/>
            <w:tcBorders>
              <w:top w:val="single" w:color="auto" w:sz="4" w:space="0"/>
              <w:left w:val="single" w:color="auto" w:sz="4" w:space="0"/>
              <w:bottom w:val="single" w:color="auto" w:sz="4" w:space="0"/>
              <w:right w:val="single" w:color="auto" w:sz="4" w:space="0"/>
            </w:tcBorders>
            <w:noWrap w:val="0"/>
            <w:vAlign w:val="center"/>
          </w:tcPr>
          <w:p w14:paraId="1F38A21F">
            <w:pPr>
              <w:spacing w:line="360" w:lineRule="auto"/>
              <w:ind w:firstLine="0" w:firstLineChars="0"/>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投标报价应包含完成本项目全部内容的所有费用，包括但不限于生物质颗粒本体货款、包装费、运输费、装卸费、保险费、税金、人员培训费、售后服务费及采购人验收前所发生的一切费用。投标人不得</w:t>
            </w:r>
            <w:r>
              <w:rPr>
                <w:rFonts w:hint="eastAsia" w:hAnsi="宋体" w:cs="宋体"/>
                <w:color w:val="auto"/>
                <w:sz w:val="24"/>
                <w:szCs w:val="24"/>
                <w:highlight w:val="none"/>
                <w:lang w:val="en-US" w:eastAsia="zh-CN" w:bidi="ar"/>
              </w:rPr>
              <w:t>任何理</w:t>
            </w:r>
            <w:r>
              <w:rPr>
                <w:rFonts w:hint="eastAsia" w:ascii="宋体" w:hAnsi="宋体" w:eastAsia="宋体" w:cs="宋体"/>
                <w:color w:val="auto"/>
                <w:sz w:val="24"/>
                <w:szCs w:val="24"/>
                <w:highlight w:val="none"/>
                <w:lang w:bidi="ar"/>
              </w:rPr>
              <w:t>由</w:t>
            </w:r>
            <w:r>
              <w:rPr>
                <w:rFonts w:hint="eastAsia" w:hAnsi="宋体" w:cs="宋体"/>
                <w:color w:val="auto"/>
                <w:sz w:val="24"/>
                <w:szCs w:val="24"/>
                <w:highlight w:val="none"/>
                <w:lang w:val="en-US" w:eastAsia="zh-CN" w:bidi="ar"/>
              </w:rPr>
              <w:t>在中标后要求采购支付其他</w:t>
            </w:r>
            <w:r>
              <w:rPr>
                <w:rFonts w:hint="eastAsia" w:ascii="宋体" w:hAnsi="宋体" w:eastAsia="宋体" w:cs="宋体"/>
                <w:color w:val="auto"/>
                <w:sz w:val="24"/>
                <w:szCs w:val="24"/>
                <w:highlight w:val="none"/>
                <w:lang w:bidi="ar"/>
              </w:rPr>
              <w:t>费用</w:t>
            </w:r>
            <w:r>
              <w:rPr>
                <w:rFonts w:hint="eastAsia" w:hAnsi="宋体" w:cs="宋体"/>
                <w:color w:val="auto"/>
                <w:sz w:val="24"/>
                <w:szCs w:val="24"/>
                <w:highlight w:val="none"/>
                <w:lang w:val="en-US" w:eastAsia="zh-CN" w:bidi="ar"/>
              </w:rPr>
              <w:t>或增加费用</w:t>
            </w:r>
            <w:r>
              <w:rPr>
                <w:rFonts w:hint="eastAsia" w:ascii="宋体" w:hAnsi="宋体" w:eastAsia="宋体" w:cs="宋体"/>
                <w:color w:val="auto"/>
                <w:sz w:val="24"/>
                <w:szCs w:val="24"/>
                <w:highlight w:val="none"/>
                <w:lang w:bidi="ar"/>
              </w:rPr>
              <w:t>。</w:t>
            </w:r>
          </w:p>
        </w:tc>
      </w:tr>
      <w:tr w14:paraId="37FD79B2">
        <w:tblPrEx>
          <w:tblCellMar>
            <w:top w:w="0" w:type="dxa"/>
            <w:left w:w="108" w:type="dxa"/>
            <w:bottom w:w="0" w:type="dxa"/>
            <w:right w:w="108" w:type="dxa"/>
          </w:tblCellMar>
        </w:tblPrEx>
        <w:trPr>
          <w:trHeight w:val="567" w:hRule="atLeast"/>
          <w:jc w:val="center"/>
        </w:trPr>
        <w:tc>
          <w:tcPr>
            <w:tcW w:w="9673" w:type="dxa"/>
            <w:gridSpan w:val="3"/>
            <w:tcBorders>
              <w:top w:val="single" w:color="auto" w:sz="4" w:space="0"/>
              <w:left w:val="single" w:color="auto" w:sz="4" w:space="0"/>
              <w:bottom w:val="single" w:color="auto" w:sz="4" w:space="0"/>
              <w:right w:val="single" w:color="auto" w:sz="4" w:space="0"/>
            </w:tcBorders>
            <w:noWrap w:val="0"/>
            <w:vAlign w:val="center"/>
          </w:tcPr>
          <w:p w14:paraId="3EE42D41">
            <w:pPr>
              <w:spacing w:line="360" w:lineRule="auto"/>
              <w:ind w:firstLine="0" w:firstLineChars="0"/>
              <w:jc w:val="center"/>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招标</w:t>
            </w:r>
            <w:r>
              <w:rPr>
                <w:rFonts w:hint="eastAsia" w:ascii="宋体" w:hAnsi="宋体" w:eastAsia="宋体" w:cs="宋体"/>
                <w:b/>
                <w:color w:val="auto"/>
                <w:sz w:val="24"/>
                <w:szCs w:val="24"/>
                <w:highlight w:val="none"/>
              </w:rPr>
              <w:t>公告、招标文件与</w:t>
            </w:r>
            <w:r>
              <w:rPr>
                <w:rFonts w:hint="eastAsia" w:ascii="宋体" w:hAnsi="宋体" w:eastAsia="宋体" w:cs="宋体"/>
                <w:b/>
                <w:color w:val="auto"/>
                <w:sz w:val="24"/>
                <w:szCs w:val="24"/>
                <w:highlight w:val="none"/>
                <w:lang w:eastAsia="zh-CN"/>
              </w:rPr>
              <w:t>投标人</w:t>
            </w:r>
            <w:r>
              <w:rPr>
                <w:rFonts w:hint="eastAsia" w:ascii="宋体" w:hAnsi="宋体" w:eastAsia="宋体" w:cs="宋体"/>
                <w:b/>
                <w:color w:val="auto"/>
                <w:sz w:val="24"/>
                <w:szCs w:val="24"/>
                <w:highlight w:val="none"/>
              </w:rPr>
              <w:t>须知前附表不一致之处以</w:t>
            </w:r>
            <w:r>
              <w:rPr>
                <w:rFonts w:hint="eastAsia" w:ascii="宋体" w:hAnsi="宋体" w:eastAsia="宋体" w:cs="宋体"/>
                <w:b/>
                <w:color w:val="auto"/>
                <w:sz w:val="24"/>
                <w:szCs w:val="24"/>
                <w:highlight w:val="none"/>
                <w:lang w:eastAsia="zh-CN"/>
              </w:rPr>
              <w:t>投标人</w:t>
            </w:r>
            <w:r>
              <w:rPr>
                <w:rFonts w:hint="eastAsia" w:ascii="宋体" w:hAnsi="宋体" w:eastAsia="宋体" w:cs="宋体"/>
                <w:b/>
                <w:color w:val="auto"/>
                <w:sz w:val="24"/>
                <w:szCs w:val="24"/>
                <w:highlight w:val="none"/>
              </w:rPr>
              <w:t>须知前附表为准。</w:t>
            </w:r>
          </w:p>
        </w:tc>
      </w:tr>
    </w:tbl>
    <w:p w14:paraId="2851B535">
      <w:pPr>
        <w:ind w:firstLine="0" w:firstLineChars="0"/>
        <w:rPr>
          <w:rFonts w:hint="eastAsia" w:ascii="宋体" w:hAnsi="宋体" w:eastAsia="宋体" w:cs="宋体"/>
          <w:b/>
          <w:color w:val="auto"/>
          <w:sz w:val="24"/>
          <w:szCs w:val="24"/>
          <w:highlight w:val="none"/>
        </w:rPr>
      </w:pPr>
      <w:r>
        <w:rPr>
          <w:rFonts w:hint="eastAsia"/>
          <w:color w:val="auto"/>
          <w:sz w:val="28"/>
          <w:szCs w:val="28"/>
          <w:highlight w:val="none"/>
        </w:rPr>
        <w:br w:type="page"/>
      </w:r>
      <w:bookmarkStart w:id="26" w:name="_Toc230599440"/>
      <w:r>
        <w:rPr>
          <w:rFonts w:hint="eastAsia" w:ascii="宋体" w:hAnsi="宋体" w:eastAsia="宋体" w:cs="宋体"/>
          <w:b/>
          <w:color w:val="auto"/>
          <w:sz w:val="24"/>
          <w:szCs w:val="24"/>
          <w:highlight w:val="none"/>
        </w:rPr>
        <w:t>1.总则</w:t>
      </w:r>
      <w:bookmarkEnd w:id="26"/>
    </w:p>
    <w:p w14:paraId="626CB35F">
      <w:pPr>
        <w:ind w:firstLine="422"/>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1.1 项目概况</w:t>
      </w:r>
    </w:p>
    <w:p w14:paraId="11BFAC6A">
      <w:pPr>
        <w:ind w:firstLine="42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1.1.1 根据《中华人民共和国政府采购法》《中华人民共和国政府采购法实施条例》等有关法律、法规和规章的规定，本招标项目已具备招标条件，现对本项目进行招标。</w:t>
      </w:r>
    </w:p>
    <w:p w14:paraId="5E7812E8">
      <w:pPr>
        <w:ind w:firstLine="42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1.1.2 本招标项目采购人：见</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须知前附表。</w:t>
      </w:r>
    </w:p>
    <w:p w14:paraId="1C8354B4">
      <w:pPr>
        <w:ind w:firstLine="42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1.1.3 本招标项目采购代理机构：见</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须知前附表。</w:t>
      </w:r>
    </w:p>
    <w:p w14:paraId="21A8B202">
      <w:pPr>
        <w:ind w:firstLine="42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1.1.4 本招标项目名称及编号：见</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须知前附表。</w:t>
      </w:r>
    </w:p>
    <w:p w14:paraId="5FD3F9A0">
      <w:pPr>
        <w:ind w:firstLine="42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1.1.5 本招标项目供货地点：见</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须知前附表。</w:t>
      </w:r>
    </w:p>
    <w:p w14:paraId="1702BF03">
      <w:pPr>
        <w:ind w:firstLine="422"/>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1.2 资金来源和落实情况</w:t>
      </w:r>
    </w:p>
    <w:p w14:paraId="5BCF3817">
      <w:pPr>
        <w:ind w:firstLine="42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1.2.1 本招标项目的资金来源：见</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须知前附表。</w:t>
      </w:r>
    </w:p>
    <w:p w14:paraId="1366A1EE">
      <w:pPr>
        <w:ind w:firstLine="42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1.2.2 本招标项目的出资比例：见</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须知前附表。</w:t>
      </w:r>
    </w:p>
    <w:p w14:paraId="725DA1DF">
      <w:pPr>
        <w:ind w:firstLine="42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1.2.3 本招标项目的资金落实情况：见</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须知前附表。</w:t>
      </w:r>
    </w:p>
    <w:p w14:paraId="25C730A6">
      <w:pPr>
        <w:ind w:firstLine="422"/>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1.3 采购需求、合同履行期限和质量标准</w:t>
      </w:r>
    </w:p>
    <w:p w14:paraId="59EE84CF">
      <w:pPr>
        <w:ind w:firstLine="42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1.3.1 本次采购需求：详见采购需求章节。</w:t>
      </w:r>
    </w:p>
    <w:p w14:paraId="07C8B87F">
      <w:pPr>
        <w:ind w:firstLine="42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1.3.2 本次招标的合同履行期限：见</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须知前附表。</w:t>
      </w:r>
    </w:p>
    <w:p w14:paraId="0CE85538">
      <w:pPr>
        <w:ind w:firstLine="42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1.3.3 本次招标的质量标准：见</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须知前附表。</w:t>
      </w:r>
    </w:p>
    <w:p w14:paraId="7E417BA5">
      <w:pPr>
        <w:ind w:firstLine="422"/>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 xml:space="preserve">1.4 </w:t>
      </w:r>
      <w:r>
        <w:rPr>
          <w:rFonts w:hint="eastAsia" w:ascii="宋体" w:hAnsi="宋体" w:eastAsia="宋体" w:cs="宋体"/>
          <w:b/>
          <w:color w:val="auto"/>
          <w:kern w:val="0"/>
          <w:sz w:val="24"/>
          <w:szCs w:val="24"/>
          <w:highlight w:val="none"/>
          <w:lang w:eastAsia="zh-CN"/>
        </w:rPr>
        <w:t>投标人</w:t>
      </w:r>
      <w:r>
        <w:rPr>
          <w:rFonts w:hint="eastAsia" w:ascii="宋体" w:hAnsi="宋体" w:eastAsia="宋体" w:cs="宋体"/>
          <w:b/>
          <w:color w:val="auto"/>
          <w:kern w:val="0"/>
          <w:sz w:val="24"/>
          <w:szCs w:val="24"/>
          <w:highlight w:val="none"/>
        </w:rPr>
        <w:t>资格要求</w:t>
      </w:r>
    </w:p>
    <w:p w14:paraId="0E84B202">
      <w:pPr>
        <w:ind w:firstLine="42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1.4.1 </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应具备承担本项目的资格条件、能力和信誉。</w:t>
      </w:r>
    </w:p>
    <w:p w14:paraId="03828BE8">
      <w:pPr>
        <w:ind w:firstLine="42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1.4.2 本项目不接受联合体投标。</w:t>
      </w:r>
    </w:p>
    <w:p w14:paraId="1C970D79">
      <w:pPr>
        <w:autoSpaceDE w:val="0"/>
        <w:autoSpaceDN w:val="0"/>
        <w:ind w:firstLine="422"/>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1.5 费用承担</w:t>
      </w:r>
    </w:p>
    <w:p w14:paraId="483F2488">
      <w:pPr>
        <w:autoSpaceDE w:val="0"/>
        <w:autoSpaceDN w:val="0"/>
        <w:ind w:firstLine="42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准备和参加投标活动发生的费用自理。</w:t>
      </w:r>
    </w:p>
    <w:p w14:paraId="462D3BC6">
      <w:pPr>
        <w:autoSpaceDE w:val="0"/>
        <w:autoSpaceDN w:val="0"/>
        <w:ind w:firstLine="422"/>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1.6 保密</w:t>
      </w:r>
    </w:p>
    <w:p w14:paraId="7DE811B0">
      <w:pPr>
        <w:autoSpaceDE w:val="0"/>
        <w:autoSpaceDN w:val="0"/>
        <w:ind w:firstLine="42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参与招标投标活动的各方应对招标文件和投标文件中的商业和技术等秘密保密，违者应对由此造成的后果承担法律责任。</w:t>
      </w:r>
    </w:p>
    <w:p w14:paraId="02A4DFF0">
      <w:pPr>
        <w:autoSpaceDE w:val="0"/>
        <w:autoSpaceDN w:val="0"/>
        <w:ind w:firstLine="422"/>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1.7 语言文字</w:t>
      </w:r>
    </w:p>
    <w:p w14:paraId="2F2FDDF5">
      <w:pPr>
        <w:autoSpaceDE w:val="0"/>
        <w:autoSpaceDN w:val="0"/>
        <w:ind w:firstLine="42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除专用术语外，与招标投标有关的语言均使用中文。必要时专用术语应附有中文注释。</w:t>
      </w:r>
    </w:p>
    <w:p w14:paraId="19C77ADE">
      <w:pPr>
        <w:autoSpaceDE w:val="0"/>
        <w:autoSpaceDN w:val="0"/>
        <w:ind w:firstLine="422"/>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1.8 计量单位</w:t>
      </w:r>
    </w:p>
    <w:p w14:paraId="7A1543CC">
      <w:pPr>
        <w:autoSpaceDE w:val="0"/>
        <w:autoSpaceDN w:val="0"/>
        <w:ind w:firstLine="42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所有计量均采用中华人民共和国法定计量单位。</w:t>
      </w:r>
    </w:p>
    <w:p w14:paraId="29673D34">
      <w:pPr>
        <w:autoSpaceDE w:val="0"/>
        <w:autoSpaceDN w:val="0"/>
        <w:ind w:firstLine="422"/>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1.9 踏勘现场</w:t>
      </w:r>
    </w:p>
    <w:p w14:paraId="2C33257E">
      <w:pPr>
        <w:autoSpaceDE w:val="0"/>
        <w:autoSpaceDN w:val="0"/>
        <w:ind w:firstLine="42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不组织，自行踏勘</w:t>
      </w:r>
    </w:p>
    <w:p w14:paraId="7390F087">
      <w:pPr>
        <w:autoSpaceDE w:val="0"/>
        <w:autoSpaceDN w:val="0"/>
        <w:ind w:firstLine="422"/>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1.10 答疑会</w:t>
      </w:r>
    </w:p>
    <w:p w14:paraId="2117FDA0">
      <w:pPr>
        <w:autoSpaceDE w:val="0"/>
        <w:autoSpaceDN w:val="0"/>
        <w:ind w:firstLine="42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不召开</w:t>
      </w:r>
    </w:p>
    <w:p w14:paraId="23ABABF6">
      <w:pPr>
        <w:autoSpaceDE w:val="0"/>
        <w:autoSpaceDN w:val="0"/>
        <w:ind w:firstLine="422"/>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1.11 分包</w:t>
      </w:r>
    </w:p>
    <w:p w14:paraId="007FB239">
      <w:pPr>
        <w:autoSpaceDE w:val="0"/>
        <w:autoSpaceDN w:val="0"/>
        <w:ind w:firstLine="42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本项目不允许分包。</w:t>
      </w:r>
    </w:p>
    <w:p w14:paraId="0471CEA9">
      <w:pPr>
        <w:ind w:firstLine="0" w:firstLineChars="0"/>
        <w:rPr>
          <w:rFonts w:hint="eastAsia" w:ascii="宋体" w:hAnsi="宋体" w:eastAsia="宋体" w:cs="宋体"/>
          <w:b/>
          <w:color w:val="auto"/>
          <w:sz w:val="24"/>
          <w:szCs w:val="24"/>
          <w:highlight w:val="none"/>
        </w:rPr>
      </w:pPr>
      <w:bookmarkStart w:id="27" w:name="_Toc452632694"/>
      <w:bookmarkStart w:id="28" w:name="_Toc230599441"/>
      <w:bookmarkStart w:id="29" w:name="_Toc471222465"/>
      <w:r>
        <w:rPr>
          <w:rFonts w:hint="eastAsia" w:ascii="宋体" w:hAnsi="宋体" w:eastAsia="宋体" w:cs="宋体"/>
          <w:b/>
          <w:color w:val="auto"/>
          <w:sz w:val="24"/>
          <w:szCs w:val="24"/>
          <w:highlight w:val="none"/>
        </w:rPr>
        <w:t>2.</w:t>
      </w:r>
      <w:bookmarkEnd w:id="27"/>
      <w:bookmarkEnd w:id="28"/>
      <w:bookmarkEnd w:id="29"/>
      <w:r>
        <w:rPr>
          <w:rFonts w:hint="eastAsia" w:ascii="宋体" w:hAnsi="宋体" w:eastAsia="宋体" w:cs="宋体"/>
          <w:b/>
          <w:color w:val="auto"/>
          <w:sz w:val="24"/>
          <w:szCs w:val="24"/>
          <w:highlight w:val="none"/>
        </w:rPr>
        <w:t>招标文件</w:t>
      </w:r>
    </w:p>
    <w:p w14:paraId="6802649F">
      <w:pPr>
        <w:autoSpaceDE w:val="0"/>
        <w:autoSpaceDN w:val="0"/>
        <w:ind w:firstLine="422"/>
        <w:jc w:val="left"/>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2.1 招标文件的组成</w:t>
      </w:r>
    </w:p>
    <w:p w14:paraId="5DDF814E">
      <w:pPr>
        <w:autoSpaceDE w:val="0"/>
        <w:autoSpaceDN w:val="0"/>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本招标文件包括：</w:t>
      </w:r>
    </w:p>
    <w:p w14:paraId="5B35D92C">
      <w:pPr>
        <w:autoSpaceDE w:val="0"/>
        <w:autoSpaceDN w:val="0"/>
        <w:ind w:firstLine="42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（1）招标公告；</w:t>
      </w:r>
    </w:p>
    <w:p w14:paraId="76A47932">
      <w:pPr>
        <w:autoSpaceDE w:val="0"/>
        <w:autoSpaceDN w:val="0"/>
        <w:ind w:firstLine="42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须知；</w:t>
      </w:r>
    </w:p>
    <w:p w14:paraId="4E48000E">
      <w:pPr>
        <w:autoSpaceDE w:val="0"/>
        <w:autoSpaceDN w:val="0"/>
        <w:ind w:firstLine="42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（3）评标办法；</w:t>
      </w:r>
    </w:p>
    <w:p w14:paraId="4A487CE1">
      <w:pPr>
        <w:autoSpaceDE w:val="0"/>
        <w:autoSpaceDN w:val="0"/>
        <w:ind w:firstLine="42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（4）合同条款及格式；</w:t>
      </w:r>
    </w:p>
    <w:p w14:paraId="3EEFFCB7">
      <w:pPr>
        <w:autoSpaceDE w:val="0"/>
        <w:autoSpaceDN w:val="0"/>
        <w:ind w:firstLine="42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（5）采购</w:t>
      </w:r>
      <w:r>
        <w:rPr>
          <w:rFonts w:hint="eastAsia" w:ascii="宋体" w:hAnsi="宋体" w:eastAsia="宋体" w:cs="宋体"/>
          <w:color w:val="auto"/>
          <w:kern w:val="0"/>
          <w:sz w:val="24"/>
          <w:szCs w:val="24"/>
          <w:highlight w:val="none"/>
          <w:lang w:val="en-US" w:eastAsia="zh-CN"/>
        </w:rPr>
        <w:t>需求</w:t>
      </w:r>
      <w:r>
        <w:rPr>
          <w:rFonts w:hint="eastAsia" w:ascii="宋体" w:hAnsi="宋体" w:eastAsia="宋体" w:cs="宋体"/>
          <w:color w:val="auto"/>
          <w:kern w:val="0"/>
          <w:sz w:val="24"/>
          <w:szCs w:val="24"/>
          <w:highlight w:val="none"/>
        </w:rPr>
        <w:t>清单</w:t>
      </w:r>
    </w:p>
    <w:p w14:paraId="1D5915C4">
      <w:pPr>
        <w:autoSpaceDE w:val="0"/>
        <w:autoSpaceDN w:val="0"/>
        <w:ind w:firstLine="42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（6）投标文件格式；</w:t>
      </w:r>
    </w:p>
    <w:p w14:paraId="2EAFB2E4">
      <w:pPr>
        <w:autoSpaceDE w:val="0"/>
        <w:autoSpaceDN w:val="0"/>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根据本章第1.10 款、第2.2 款和第2.3 款对招标文件所作的澄清、修改，构成招标文件的组成部分。</w:t>
      </w:r>
    </w:p>
    <w:p w14:paraId="2C195DD3">
      <w:pPr>
        <w:autoSpaceDE w:val="0"/>
        <w:autoSpaceDN w:val="0"/>
        <w:ind w:firstLine="422"/>
        <w:jc w:val="left"/>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2.2 招标文件的澄清</w:t>
      </w:r>
    </w:p>
    <w:p w14:paraId="0505C13A">
      <w:pPr>
        <w:autoSpaceDE w:val="0"/>
        <w:autoSpaceDN w:val="0"/>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2.2.1 </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应仔细阅读和检查招标文件的全部内容。如发现缺页或附件不全，应及时向采购人提出，以便补齐。如有疑问，应在</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须知前附表规定的时间前以书面形式（包括信函、电报、传真等可以有形地表现所载内容的形式，下同），要求采购人对招标文件予以澄清。</w:t>
      </w:r>
    </w:p>
    <w:p w14:paraId="6ECE5A8F">
      <w:pPr>
        <w:autoSpaceDE w:val="0"/>
        <w:autoSpaceDN w:val="0"/>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2.2.2 招标文件的澄清将在</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须知前附表规定的投标截止时间15天前通过</w:t>
      </w:r>
      <w:r>
        <w:rPr>
          <w:rFonts w:hint="eastAsia" w:ascii="宋体" w:hAnsi="宋体" w:eastAsia="宋体" w:cs="宋体"/>
          <w:color w:val="auto"/>
          <w:sz w:val="24"/>
          <w:szCs w:val="24"/>
          <w:highlight w:val="none"/>
          <w:lang w:bidi="ar"/>
        </w:rPr>
        <w:t>“政采云”平台</w:t>
      </w:r>
      <w:r>
        <w:rPr>
          <w:rFonts w:hint="eastAsia" w:ascii="宋体" w:hAnsi="宋体" w:eastAsia="宋体" w:cs="宋体"/>
          <w:color w:val="auto"/>
          <w:kern w:val="0"/>
          <w:sz w:val="24"/>
          <w:szCs w:val="24"/>
          <w:highlight w:val="none"/>
        </w:rPr>
        <w:t>进行澄清。</w:t>
      </w:r>
    </w:p>
    <w:p w14:paraId="1FB53EF5">
      <w:pPr>
        <w:autoSpaceDE w:val="0"/>
        <w:autoSpaceDN w:val="0"/>
        <w:ind w:firstLine="422"/>
        <w:jc w:val="left"/>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2.3 招标文件的修改</w:t>
      </w:r>
    </w:p>
    <w:p w14:paraId="350FD700">
      <w:pPr>
        <w:autoSpaceDE w:val="0"/>
        <w:autoSpaceDN w:val="0"/>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2.3.1 在投标截止时间15天前，通过</w:t>
      </w:r>
      <w:r>
        <w:rPr>
          <w:rFonts w:hint="eastAsia" w:ascii="宋体" w:hAnsi="宋体" w:eastAsia="宋体" w:cs="宋体"/>
          <w:color w:val="auto"/>
          <w:sz w:val="24"/>
          <w:szCs w:val="24"/>
          <w:highlight w:val="none"/>
          <w:lang w:bidi="ar"/>
        </w:rPr>
        <w:t>“政采云”平台</w:t>
      </w:r>
      <w:r>
        <w:rPr>
          <w:rFonts w:hint="eastAsia" w:ascii="宋体" w:hAnsi="宋体" w:eastAsia="宋体" w:cs="宋体"/>
          <w:color w:val="auto"/>
          <w:kern w:val="0"/>
          <w:sz w:val="24"/>
          <w:szCs w:val="24"/>
          <w:highlight w:val="none"/>
        </w:rPr>
        <w:t>进行修改。如果修改招标文件的时间距投标截止时间不足15 天，相应延长投标截止时间。</w:t>
      </w:r>
    </w:p>
    <w:p w14:paraId="66556A0A">
      <w:pPr>
        <w:ind w:firstLine="0" w:firstLineChars="0"/>
        <w:rPr>
          <w:rFonts w:hint="eastAsia" w:ascii="宋体" w:hAnsi="宋体" w:eastAsia="宋体" w:cs="宋体"/>
          <w:b/>
          <w:color w:val="auto"/>
          <w:sz w:val="24"/>
          <w:szCs w:val="24"/>
          <w:highlight w:val="none"/>
        </w:rPr>
      </w:pPr>
      <w:bookmarkStart w:id="30" w:name="_Toc452632695"/>
      <w:bookmarkStart w:id="31" w:name="_Toc230599442"/>
      <w:bookmarkStart w:id="32" w:name="_Toc471222466"/>
      <w:r>
        <w:rPr>
          <w:rFonts w:hint="eastAsia" w:ascii="宋体" w:hAnsi="宋体" w:eastAsia="宋体" w:cs="宋体"/>
          <w:b/>
          <w:color w:val="auto"/>
          <w:sz w:val="24"/>
          <w:szCs w:val="24"/>
          <w:highlight w:val="none"/>
        </w:rPr>
        <w:t>3.投标文件</w:t>
      </w:r>
      <w:bookmarkEnd w:id="30"/>
      <w:bookmarkEnd w:id="31"/>
      <w:bookmarkEnd w:id="32"/>
    </w:p>
    <w:p w14:paraId="232F76AD">
      <w:pPr>
        <w:autoSpaceDE w:val="0"/>
        <w:autoSpaceDN w:val="0"/>
        <w:ind w:firstLine="422"/>
        <w:jc w:val="left"/>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3.1 投标文件的组成</w:t>
      </w:r>
    </w:p>
    <w:p w14:paraId="71B8D76F">
      <w:pPr>
        <w:tabs>
          <w:tab w:val="left" w:pos="709"/>
        </w:tabs>
        <w:autoSpaceDE w:val="0"/>
        <w:autoSpaceDN w:val="0"/>
        <w:ind w:firstLine="42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3.1.1 投标文件分为商务部分和技术部分。商务部分是</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提交的证明其具有合格的投标资格和</w:t>
      </w:r>
      <w:r>
        <w:rPr>
          <w:rFonts w:hint="eastAsia" w:ascii="宋体" w:hAnsi="宋体" w:eastAsia="宋体" w:cs="宋体"/>
          <w:color w:val="auto"/>
          <w:kern w:val="0"/>
          <w:sz w:val="24"/>
          <w:szCs w:val="24"/>
          <w:highlight w:val="none"/>
          <w:lang w:eastAsia="zh-CN"/>
        </w:rPr>
        <w:t>中标</w:t>
      </w:r>
      <w:r>
        <w:rPr>
          <w:rFonts w:hint="eastAsia" w:ascii="宋体" w:hAnsi="宋体" w:eastAsia="宋体" w:cs="宋体"/>
          <w:color w:val="auto"/>
          <w:kern w:val="0"/>
          <w:sz w:val="24"/>
          <w:szCs w:val="24"/>
          <w:highlight w:val="none"/>
        </w:rPr>
        <w:t>后有能力履行合同的文件。技术部分是能够证明</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所提供货物的合格性和符合招标文件规定的文件。</w:t>
      </w:r>
    </w:p>
    <w:p w14:paraId="3C13DBCF">
      <w:pPr>
        <w:tabs>
          <w:tab w:val="left" w:pos="709"/>
        </w:tabs>
        <w:autoSpaceDE w:val="0"/>
        <w:autoSpaceDN w:val="0"/>
        <w:ind w:firstLine="42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3.1.2 </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应提交本招标文件第六章《投标文件格式》规定的全部商务文件和技术文件，若有缺失、无效或者不符合招标文件要求，将导致其投标被拒绝。</w:t>
      </w:r>
    </w:p>
    <w:p w14:paraId="193C832F">
      <w:pPr>
        <w:tabs>
          <w:tab w:val="left" w:pos="709"/>
        </w:tabs>
        <w:autoSpaceDE w:val="0"/>
        <w:autoSpaceDN w:val="0"/>
        <w:ind w:firstLine="422"/>
        <w:rPr>
          <w:rFonts w:hint="eastAsia" w:ascii="宋体" w:hAnsi="宋体" w:eastAsia="宋体" w:cs="宋体"/>
          <w:b/>
          <w:color w:val="auto"/>
          <w:kern w:val="0"/>
          <w:sz w:val="24"/>
          <w:szCs w:val="24"/>
          <w:highlight w:val="none"/>
        </w:rPr>
      </w:pPr>
      <w:bookmarkStart w:id="33" w:name="_Toc152042324"/>
      <w:bookmarkStart w:id="34" w:name="_Toc246996193"/>
      <w:bookmarkStart w:id="35" w:name="_Toc179632566"/>
      <w:bookmarkStart w:id="36" w:name="_Toc144974516"/>
      <w:bookmarkStart w:id="37" w:name="_Toc152045548"/>
      <w:bookmarkStart w:id="38" w:name="_Toc617"/>
      <w:bookmarkStart w:id="39" w:name="_Toc246996936"/>
      <w:bookmarkStart w:id="40" w:name="_Toc247085707"/>
      <w:r>
        <w:rPr>
          <w:rFonts w:hint="eastAsia" w:ascii="宋体" w:hAnsi="宋体" w:eastAsia="宋体" w:cs="宋体"/>
          <w:b/>
          <w:color w:val="auto"/>
          <w:kern w:val="0"/>
          <w:sz w:val="24"/>
          <w:szCs w:val="24"/>
          <w:highlight w:val="none"/>
        </w:rPr>
        <w:t>3.2 投标报价</w:t>
      </w:r>
      <w:bookmarkEnd w:id="33"/>
      <w:bookmarkEnd w:id="34"/>
      <w:bookmarkEnd w:id="35"/>
      <w:bookmarkEnd w:id="36"/>
      <w:bookmarkEnd w:id="37"/>
      <w:bookmarkEnd w:id="38"/>
      <w:bookmarkEnd w:id="39"/>
      <w:bookmarkEnd w:id="40"/>
    </w:p>
    <w:p w14:paraId="055E118F">
      <w:pPr>
        <w:tabs>
          <w:tab w:val="left" w:pos="709"/>
        </w:tabs>
        <w:autoSpaceDE w:val="0"/>
        <w:autoSpaceDN w:val="0"/>
        <w:ind w:firstLine="42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3.2.1</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的投标报价应附投标报价说明；</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报价应唯一且不得超过采购预算，否则废标。</w:t>
      </w:r>
    </w:p>
    <w:p w14:paraId="681456A1">
      <w:pPr>
        <w:tabs>
          <w:tab w:val="left" w:pos="709"/>
        </w:tabs>
        <w:autoSpaceDE w:val="0"/>
        <w:autoSpaceDN w:val="0"/>
        <w:ind w:firstLine="42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3.2.2除非合同中另有规定，投标报价应包括承担本采购项目的全部费用，包括劳务、人员工资、福利、保险、成本、利润、税金及风险等全部费用；报价若有遗漏，视为免费提供，采购人不再另行支付。</w:t>
      </w:r>
    </w:p>
    <w:p w14:paraId="5FFBBC8A">
      <w:pPr>
        <w:autoSpaceDE w:val="0"/>
        <w:autoSpaceDN w:val="0"/>
        <w:ind w:firstLine="422"/>
        <w:jc w:val="left"/>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3.3 投标有效期</w:t>
      </w:r>
    </w:p>
    <w:p w14:paraId="7454ADDA">
      <w:pPr>
        <w:autoSpaceDE w:val="0"/>
        <w:autoSpaceDN w:val="0"/>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3.3.1 在</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须知前附表规定的投标有效期内，</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不得要求撤销或修改其投标文件。</w:t>
      </w:r>
    </w:p>
    <w:p w14:paraId="3488DE0D">
      <w:pPr>
        <w:autoSpaceDE w:val="0"/>
        <w:autoSpaceDN w:val="0"/>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3.3.2 出现特殊情况需要延长投标有效期的，采购人以书面形式通知所有</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延长投标有效期。</w:t>
      </w:r>
    </w:p>
    <w:p w14:paraId="1D688476">
      <w:pPr>
        <w:autoSpaceDE w:val="0"/>
        <w:autoSpaceDN w:val="0"/>
        <w:ind w:firstLine="422"/>
        <w:jc w:val="left"/>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3.4 投标保证金（</w:t>
      </w:r>
      <w:r>
        <w:rPr>
          <w:rFonts w:hint="eastAsia" w:hAnsi="宋体" w:cs="宋体"/>
          <w:b/>
          <w:color w:val="auto"/>
          <w:kern w:val="0"/>
          <w:sz w:val="24"/>
          <w:szCs w:val="24"/>
          <w:highlight w:val="none"/>
          <w:lang w:val="en-US" w:eastAsia="zh-CN"/>
        </w:rPr>
        <w:t>本项目</w:t>
      </w:r>
      <w:r>
        <w:rPr>
          <w:rFonts w:hint="eastAsia" w:ascii="宋体" w:hAnsi="宋体" w:eastAsia="宋体" w:cs="宋体"/>
          <w:b/>
          <w:color w:val="auto"/>
          <w:kern w:val="0"/>
          <w:sz w:val="24"/>
          <w:szCs w:val="24"/>
          <w:highlight w:val="none"/>
        </w:rPr>
        <w:t>不适用）</w:t>
      </w:r>
    </w:p>
    <w:p w14:paraId="22EA8672">
      <w:pPr>
        <w:autoSpaceDE w:val="0"/>
        <w:autoSpaceDN w:val="0"/>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3.4.1 </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在递交投标文件的同时，应按</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须知前附表规定的金额、担保形式和第六章“投标文件格式”规定的投标保证金格式递交投标保证金，并作为其投标文件的组成部分。</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还应在银行进账单或电汇凭证上明确用途、投标项目名称、联系人及电话，以便核对查实。所交保证金手续不得重复使用，一项目一收退。</w:t>
      </w:r>
    </w:p>
    <w:p w14:paraId="5827C397">
      <w:pPr>
        <w:autoSpaceDE w:val="0"/>
        <w:autoSpaceDN w:val="0"/>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3.4.2 </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不按本章第3.</w:t>
      </w:r>
      <w:r>
        <w:rPr>
          <w:rFonts w:hint="eastAsia" w:hAnsi="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.1 项要求提交投标保证金的，其投标文件作废标处理。</w:t>
      </w:r>
      <w:r>
        <w:rPr>
          <w:rFonts w:hint="eastAsia" w:ascii="宋体" w:hAnsi="宋体" w:eastAsia="宋体" w:cs="宋体"/>
          <w:color w:val="auto"/>
          <w:sz w:val="24"/>
          <w:szCs w:val="24"/>
          <w:highlight w:val="none"/>
          <w:lang w:eastAsia="zh-CN"/>
        </w:rPr>
        <w:t>中标</w:t>
      </w:r>
      <w:r>
        <w:rPr>
          <w:rFonts w:hint="eastAsia" w:ascii="宋体" w:hAnsi="宋体" w:eastAsia="宋体" w:cs="宋体"/>
          <w:color w:val="auto"/>
          <w:sz w:val="24"/>
          <w:szCs w:val="24"/>
          <w:highlight w:val="none"/>
        </w:rPr>
        <w:t>通知书发出后5个工作日内，采购代理机构向未</w:t>
      </w:r>
      <w:r>
        <w:rPr>
          <w:rFonts w:hint="eastAsia" w:ascii="宋体" w:hAnsi="宋体" w:eastAsia="宋体" w:cs="宋体"/>
          <w:color w:val="auto"/>
          <w:sz w:val="24"/>
          <w:szCs w:val="24"/>
          <w:highlight w:val="none"/>
          <w:lang w:eastAsia="zh-CN"/>
        </w:rPr>
        <w:t>中标</w:t>
      </w:r>
      <w:r>
        <w:rPr>
          <w:rFonts w:hint="eastAsia" w:ascii="宋体" w:hAnsi="宋体" w:eastAsia="宋体" w:cs="宋体"/>
          <w:color w:val="auto"/>
          <w:sz w:val="24"/>
          <w:szCs w:val="24"/>
          <w:highlight w:val="none"/>
        </w:rPr>
        <w:t>的</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退还投标保证金；</w:t>
      </w:r>
      <w:r>
        <w:rPr>
          <w:rFonts w:hint="eastAsia" w:ascii="宋体" w:hAnsi="宋体" w:eastAsia="宋体" w:cs="宋体"/>
          <w:color w:val="auto"/>
          <w:sz w:val="24"/>
          <w:szCs w:val="24"/>
          <w:highlight w:val="none"/>
          <w:lang w:eastAsia="zh-CN"/>
        </w:rPr>
        <w:t>中标投标人</w:t>
      </w:r>
      <w:r>
        <w:rPr>
          <w:rFonts w:hint="eastAsia" w:ascii="宋体" w:hAnsi="宋体" w:eastAsia="宋体" w:cs="宋体"/>
          <w:color w:val="auto"/>
          <w:sz w:val="24"/>
          <w:szCs w:val="24"/>
          <w:highlight w:val="none"/>
        </w:rPr>
        <w:t>与采购人签订合同，并按要求提交招标代理服务费后5个工作日内，采购代理机构向</w:t>
      </w:r>
      <w:r>
        <w:rPr>
          <w:rFonts w:hint="eastAsia" w:ascii="宋体" w:hAnsi="宋体" w:eastAsia="宋体" w:cs="宋体"/>
          <w:color w:val="auto"/>
          <w:sz w:val="24"/>
          <w:szCs w:val="24"/>
          <w:highlight w:val="none"/>
          <w:lang w:eastAsia="zh-CN"/>
        </w:rPr>
        <w:t>中标投标人</w:t>
      </w:r>
      <w:r>
        <w:rPr>
          <w:rFonts w:hint="eastAsia" w:ascii="宋体" w:hAnsi="宋体" w:eastAsia="宋体" w:cs="宋体"/>
          <w:color w:val="auto"/>
          <w:sz w:val="24"/>
          <w:szCs w:val="24"/>
          <w:highlight w:val="none"/>
        </w:rPr>
        <w:t>退还投标保证金。</w:t>
      </w:r>
    </w:p>
    <w:p w14:paraId="335A93D3">
      <w:pPr>
        <w:autoSpaceDE w:val="0"/>
        <w:autoSpaceDN w:val="0"/>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3.4.3 有下列情形之一的，投标保证金将不予退还：</w:t>
      </w:r>
    </w:p>
    <w:p w14:paraId="0634B6B8">
      <w:pPr>
        <w:autoSpaceDE w:val="0"/>
        <w:autoSpaceDN w:val="0"/>
        <w:ind w:firstLine="720" w:firstLineChars="3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无故不参加开标会议的；</w:t>
      </w:r>
    </w:p>
    <w:p w14:paraId="02D1A668">
      <w:pPr>
        <w:autoSpaceDE w:val="0"/>
        <w:autoSpaceDN w:val="0"/>
        <w:ind w:firstLine="720" w:firstLineChars="3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在投标有效期内撤回投标文件的；</w:t>
      </w:r>
    </w:p>
    <w:p w14:paraId="3BC0D8C8">
      <w:pPr>
        <w:autoSpaceDE w:val="0"/>
        <w:autoSpaceDN w:val="0"/>
        <w:ind w:firstLine="720" w:firstLineChars="3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lang w:eastAsia="zh-CN"/>
        </w:rPr>
        <w:t>中标</w:t>
      </w:r>
      <w:r>
        <w:rPr>
          <w:rFonts w:hint="eastAsia" w:ascii="宋体" w:hAnsi="宋体" w:eastAsia="宋体" w:cs="宋体"/>
          <w:color w:val="auto"/>
          <w:kern w:val="0"/>
          <w:sz w:val="24"/>
          <w:szCs w:val="24"/>
          <w:highlight w:val="none"/>
        </w:rPr>
        <w:t>通知书发出后，</w:t>
      </w:r>
      <w:r>
        <w:rPr>
          <w:rFonts w:hint="eastAsia" w:ascii="宋体" w:hAnsi="宋体" w:eastAsia="宋体" w:cs="宋体"/>
          <w:color w:val="auto"/>
          <w:kern w:val="0"/>
          <w:sz w:val="24"/>
          <w:szCs w:val="24"/>
          <w:highlight w:val="none"/>
          <w:lang w:eastAsia="zh-CN"/>
        </w:rPr>
        <w:t>中标投标人</w:t>
      </w:r>
      <w:r>
        <w:rPr>
          <w:rFonts w:hint="eastAsia" w:ascii="宋体" w:hAnsi="宋体" w:eastAsia="宋体" w:cs="宋体"/>
          <w:color w:val="auto"/>
          <w:kern w:val="0"/>
          <w:sz w:val="24"/>
          <w:szCs w:val="24"/>
          <w:highlight w:val="none"/>
        </w:rPr>
        <w:t>无故放弃</w:t>
      </w:r>
      <w:r>
        <w:rPr>
          <w:rFonts w:hint="eastAsia" w:ascii="宋体" w:hAnsi="宋体" w:eastAsia="宋体" w:cs="宋体"/>
          <w:color w:val="auto"/>
          <w:kern w:val="0"/>
          <w:sz w:val="24"/>
          <w:szCs w:val="24"/>
          <w:highlight w:val="none"/>
          <w:lang w:eastAsia="zh-CN"/>
        </w:rPr>
        <w:t>中标</w:t>
      </w:r>
      <w:r>
        <w:rPr>
          <w:rFonts w:hint="eastAsia" w:ascii="宋体" w:hAnsi="宋体" w:eastAsia="宋体" w:cs="宋体"/>
          <w:color w:val="auto"/>
          <w:kern w:val="0"/>
          <w:sz w:val="24"/>
          <w:szCs w:val="24"/>
          <w:highlight w:val="none"/>
        </w:rPr>
        <w:t>项目或无正当理由在规定时间内不与采购人签订合同的。</w:t>
      </w:r>
    </w:p>
    <w:p w14:paraId="6AA54AA0">
      <w:pPr>
        <w:autoSpaceDE w:val="0"/>
        <w:autoSpaceDN w:val="0"/>
        <w:ind w:firstLine="720" w:firstLineChars="3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（4）其他违反法律法规的情况。</w:t>
      </w:r>
    </w:p>
    <w:p w14:paraId="42BB00C5">
      <w:pPr>
        <w:autoSpaceDE w:val="0"/>
        <w:autoSpaceDN w:val="0"/>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3.4.4 招标项目被投诉，在调查处理期间该项目的投标保证金暂不退还，待处理结果明确后按规定处理。</w:t>
      </w:r>
    </w:p>
    <w:p w14:paraId="0735AB65">
      <w:pPr>
        <w:autoSpaceDE w:val="0"/>
        <w:autoSpaceDN w:val="0"/>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w:t>
      </w:r>
      <w:r>
        <w:rPr>
          <w:rFonts w:hint="eastAsia" w:hAnsi="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 xml:space="preserve">.5 </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缴纳和退还投标保证金单位名称，必须与投标单位的名称相一致。</w:t>
      </w:r>
    </w:p>
    <w:p w14:paraId="56EB2057">
      <w:pPr>
        <w:autoSpaceDE w:val="0"/>
        <w:autoSpaceDN w:val="0"/>
        <w:ind w:firstLine="422"/>
        <w:jc w:val="left"/>
        <w:rPr>
          <w:rFonts w:hint="eastAsia" w:ascii="宋体" w:hAnsi="宋体" w:eastAsia="宋体" w:cs="宋体"/>
          <w:b/>
          <w:color w:val="auto"/>
          <w:kern w:val="0"/>
          <w:sz w:val="24"/>
          <w:szCs w:val="24"/>
          <w:highlight w:val="none"/>
        </w:rPr>
      </w:pPr>
      <w:bookmarkStart w:id="41" w:name="_Toc152045552"/>
      <w:bookmarkStart w:id="42" w:name="_Toc152042328"/>
      <w:bookmarkStart w:id="43" w:name="_Toc144974520"/>
      <w:bookmarkStart w:id="44" w:name="_Toc24001"/>
      <w:bookmarkStart w:id="45" w:name="_Toc246996939"/>
      <w:bookmarkStart w:id="46" w:name="_Toc246996196"/>
      <w:bookmarkStart w:id="47" w:name="_Toc179632570"/>
      <w:bookmarkStart w:id="48" w:name="_Toc247085710"/>
      <w:r>
        <w:rPr>
          <w:rFonts w:hint="eastAsia" w:ascii="宋体" w:hAnsi="宋体" w:eastAsia="宋体" w:cs="宋体"/>
          <w:b/>
          <w:color w:val="auto"/>
          <w:kern w:val="0"/>
          <w:sz w:val="24"/>
          <w:szCs w:val="24"/>
          <w:highlight w:val="none"/>
        </w:rPr>
        <w:t>3.5 资格审查资料</w:t>
      </w:r>
      <w:bookmarkEnd w:id="41"/>
      <w:bookmarkEnd w:id="42"/>
      <w:bookmarkEnd w:id="43"/>
      <w:bookmarkEnd w:id="44"/>
      <w:bookmarkEnd w:id="45"/>
      <w:bookmarkEnd w:id="46"/>
      <w:bookmarkEnd w:id="47"/>
      <w:bookmarkEnd w:id="48"/>
      <w:r>
        <w:rPr>
          <w:rFonts w:hint="eastAsia" w:ascii="宋体" w:hAnsi="宋体" w:eastAsia="宋体" w:cs="宋体"/>
          <w:b/>
          <w:color w:val="auto"/>
          <w:kern w:val="0"/>
          <w:sz w:val="24"/>
          <w:szCs w:val="24"/>
          <w:highlight w:val="none"/>
        </w:rPr>
        <w:t>（如有）</w:t>
      </w:r>
    </w:p>
    <w:p w14:paraId="0A00F1F6">
      <w:pPr>
        <w:autoSpaceDE w:val="0"/>
        <w:autoSpaceDN w:val="0"/>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3.5.1“</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基本情况表”应附</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营业执照副本等材料的复印件。</w:t>
      </w:r>
    </w:p>
    <w:p w14:paraId="401C1DFF">
      <w:pPr>
        <w:autoSpaceDE w:val="0"/>
        <w:autoSpaceDN w:val="0"/>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3.5.2“近年财务状况表”应附经会计师事务所审计的财务审计报告复印件，具体年份要求见</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须知前附表。</w:t>
      </w:r>
    </w:p>
    <w:p w14:paraId="60D53E7A">
      <w:pPr>
        <w:autoSpaceDE w:val="0"/>
        <w:autoSpaceDN w:val="0"/>
        <w:ind w:firstLine="420"/>
        <w:jc w:val="left"/>
        <w:rPr>
          <w:rFonts w:hint="eastAsia" w:ascii="宋体" w:hAnsi="宋体" w:eastAsia="宋体" w:cs="宋体"/>
          <w:color w:val="auto"/>
          <w:kern w:val="0"/>
          <w:sz w:val="24"/>
          <w:szCs w:val="24"/>
          <w:highlight w:val="none"/>
        </w:rPr>
      </w:pPr>
      <w:r>
        <w:rPr>
          <w:rFonts w:hint="eastAsia" w:ascii="宋体" w:hAnsi="宋体" w:eastAsia="宋体" w:cs="宋体"/>
          <w:bCs/>
          <w:color w:val="auto"/>
          <w:kern w:val="0"/>
          <w:sz w:val="24"/>
          <w:szCs w:val="24"/>
          <w:highlight w:val="none"/>
        </w:rPr>
        <w:t>“依法缴纳税收和社会保障资金”应附相关证明材料，证明</w:t>
      </w:r>
      <w:r>
        <w:rPr>
          <w:rFonts w:hint="eastAsia" w:ascii="宋体" w:hAnsi="宋体" w:eastAsia="宋体" w:cs="宋体"/>
          <w:bCs/>
          <w:color w:val="auto"/>
          <w:kern w:val="0"/>
          <w:sz w:val="24"/>
          <w:szCs w:val="24"/>
          <w:highlight w:val="none"/>
          <w:lang w:eastAsia="zh-CN"/>
        </w:rPr>
        <w:t>投标人</w:t>
      </w:r>
      <w:r>
        <w:rPr>
          <w:rFonts w:hint="eastAsia" w:ascii="宋体" w:hAnsi="宋体" w:eastAsia="宋体" w:cs="宋体"/>
          <w:bCs/>
          <w:color w:val="auto"/>
          <w:kern w:val="0"/>
          <w:sz w:val="24"/>
          <w:szCs w:val="24"/>
          <w:highlight w:val="none"/>
        </w:rPr>
        <w:t>在前附表规定时间内有依法缴纳税收和社会保障资金的良好记录即可。</w:t>
      </w:r>
    </w:p>
    <w:p w14:paraId="48CAF14C">
      <w:pPr>
        <w:autoSpaceDE w:val="0"/>
        <w:autoSpaceDN w:val="0"/>
        <w:ind w:firstLine="420"/>
        <w:jc w:val="left"/>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3.5.3“近年完成的类似项目情况表”应附中标通知书或合同协议书的复印件，具体年份要求见</w:t>
      </w:r>
      <w:r>
        <w:rPr>
          <w:rFonts w:hint="eastAsia" w:ascii="宋体" w:hAnsi="宋体" w:eastAsia="宋体" w:cs="宋体"/>
          <w:bCs/>
          <w:color w:val="auto"/>
          <w:kern w:val="0"/>
          <w:sz w:val="24"/>
          <w:szCs w:val="24"/>
          <w:highlight w:val="none"/>
          <w:lang w:eastAsia="zh-CN"/>
        </w:rPr>
        <w:t>投标人</w:t>
      </w:r>
      <w:r>
        <w:rPr>
          <w:rFonts w:hint="eastAsia" w:ascii="宋体" w:hAnsi="宋体" w:eastAsia="宋体" w:cs="宋体"/>
          <w:bCs/>
          <w:color w:val="auto"/>
          <w:kern w:val="0"/>
          <w:sz w:val="24"/>
          <w:szCs w:val="24"/>
          <w:highlight w:val="none"/>
        </w:rPr>
        <w:t>须知前附表。每张表格只填写一个项目，并标明序号。</w:t>
      </w:r>
    </w:p>
    <w:p w14:paraId="21DF17F1">
      <w:pPr>
        <w:autoSpaceDE w:val="0"/>
        <w:autoSpaceDN w:val="0"/>
        <w:ind w:firstLine="420"/>
        <w:jc w:val="left"/>
        <w:rPr>
          <w:rFonts w:hint="eastAsia"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3.5.4“正在进行和新承接的项目情况表（如有）”应附中标通知书或合同协议书复印件。每张表格只填写一个项目，并标明序号。</w:t>
      </w:r>
    </w:p>
    <w:p w14:paraId="165D6DC9">
      <w:pPr>
        <w:autoSpaceDE w:val="0"/>
        <w:autoSpaceDN w:val="0"/>
        <w:ind w:firstLine="422"/>
        <w:jc w:val="left"/>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3.6 备选投标方案</w:t>
      </w:r>
    </w:p>
    <w:p w14:paraId="353FD87F">
      <w:pPr>
        <w:autoSpaceDE w:val="0"/>
        <w:autoSpaceDN w:val="0"/>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除</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须知前附表另有规定外，</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不得递交备选投标方案。允许</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递交备选投标方案的，只有中标人所递交的备选投标方案方可予以考虑。评标委员会认为中标人的备选投标方案优于其按照招标文件要求编制的投标方案的，采购人可以接受该备选投标方案。</w:t>
      </w:r>
    </w:p>
    <w:p w14:paraId="10E9EAEB">
      <w:pPr>
        <w:autoSpaceDE w:val="0"/>
        <w:autoSpaceDN w:val="0"/>
        <w:ind w:firstLine="422"/>
        <w:jc w:val="left"/>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3.7 投标文件的编制</w:t>
      </w:r>
    </w:p>
    <w:p w14:paraId="7D35DFE7">
      <w:pPr>
        <w:autoSpaceDE w:val="0"/>
        <w:autoSpaceDN w:val="0"/>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3.7.1 投标文件应按第六章“投标文件格式”进行编写，如有必要，可以增加附页，作为投标文件的组成部分。</w:t>
      </w:r>
    </w:p>
    <w:p w14:paraId="307A8F10">
      <w:pPr>
        <w:autoSpaceDE w:val="0"/>
        <w:autoSpaceDN w:val="0"/>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3.7.2 投标文件应当对招标文件有关合同履行期限、投标有效期、质量标准、采购需求清单、技术方案等实质性内容作出响应。</w:t>
      </w:r>
    </w:p>
    <w:p w14:paraId="64F70602">
      <w:pPr>
        <w:autoSpaceDE w:val="0"/>
        <w:autoSpaceDN w:val="0"/>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3.7.3本项目进行电子投标，所有内容均需要按照投标文件格式要求进行编写。</w:t>
      </w:r>
    </w:p>
    <w:p w14:paraId="580A688C">
      <w:pPr>
        <w:ind w:firstLine="0" w:firstLineChars="0"/>
        <w:rPr>
          <w:rFonts w:hint="eastAsia" w:ascii="宋体" w:hAnsi="宋体" w:eastAsia="宋体" w:cs="宋体"/>
          <w:b/>
          <w:color w:val="auto"/>
          <w:sz w:val="24"/>
          <w:szCs w:val="24"/>
          <w:highlight w:val="none"/>
        </w:rPr>
      </w:pPr>
      <w:bookmarkStart w:id="49" w:name="_Toc452632696"/>
      <w:bookmarkStart w:id="50" w:name="_Toc471222467"/>
      <w:bookmarkStart w:id="51" w:name="_Toc230599443"/>
      <w:r>
        <w:rPr>
          <w:rFonts w:hint="eastAsia" w:ascii="宋体" w:hAnsi="宋体" w:eastAsia="宋体" w:cs="宋体"/>
          <w:b/>
          <w:color w:val="auto"/>
          <w:sz w:val="24"/>
          <w:szCs w:val="24"/>
          <w:highlight w:val="none"/>
        </w:rPr>
        <w:t>4. 投标</w:t>
      </w:r>
      <w:bookmarkEnd w:id="49"/>
      <w:bookmarkEnd w:id="50"/>
      <w:bookmarkEnd w:id="51"/>
    </w:p>
    <w:p w14:paraId="2D5983A7">
      <w:pPr>
        <w:ind w:firstLine="420"/>
        <w:rPr>
          <w:rFonts w:hint="eastAsia" w:ascii="宋体" w:hAnsi="宋体" w:eastAsia="宋体" w:cs="宋体"/>
          <w:color w:val="auto"/>
          <w:sz w:val="24"/>
          <w:szCs w:val="24"/>
          <w:highlight w:val="none"/>
        </w:rPr>
      </w:pPr>
      <w:bookmarkStart w:id="52" w:name="_Toc452632697"/>
      <w:bookmarkStart w:id="53" w:name="_Toc471222468"/>
      <w:bookmarkStart w:id="54" w:name="_Toc230599444"/>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按照招标文件规定，在规定时间内将电子版文件上传至政采云平台。</w:t>
      </w:r>
    </w:p>
    <w:p w14:paraId="77FA9C59">
      <w:pPr>
        <w:ind w:firstLine="0" w:firstLineChars="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 开标</w:t>
      </w:r>
      <w:bookmarkEnd w:id="52"/>
      <w:bookmarkEnd w:id="53"/>
      <w:bookmarkEnd w:id="54"/>
    </w:p>
    <w:p w14:paraId="5072A874">
      <w:pPr>
        <w:autoSpaceDE w:val="0"/>
        <w:autoSpaceDN w:val="0"/>
        <w:ind w:firstLine="422"/>
        <w:jc w:val="left"/>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5.1 开标时间和地点</w:t>
      </w:r>
    </w:p>
    <w:p w14:paraId="73AF72BA">
      <w:pPr>
        <w:autoSpaceDE w:val="0"/>
        <w:autoSpaceDN w:val="0"/>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详见招标公告</w:t>
      </w:r>
    </w:p>
    <w:p w14:paraId="4997071C">
      <w:pPr>
        <w:autoSpaceDE w:val="0"/>
        <w:autoSpaceDN w:val="0"/>
        <w:ind w:firstLine="422"/>
        <w:jc w:val="left"/>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5.2 开标程序</w:t>
      </w:r>
    </w:p>
    <w:p w14:paraId="5958D7E0">
      <w:pPr>
        <w:autoSpaceDE w:val="0"/>
        <w:autoSpaceDN w:val="0"/>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主持人按下列程序进行开标：</w:t>
      </w:r>
    </w:p>
    <w:p w14:paraId="0526826D">
      <w:pPr>
        <w:autoSpaceDE w:val="0"/>
        <w:autoSpaceDN w:val="0"/>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（1）宣布开标纪律；</w:t>
      </w:r>
    </w:p>
    <w:p w14:paraId="7B31A9EA">
      <w:pPr>
        <w:autoSpaceDE w:val="0"/>
        <w:autoSpaceDN w:val="0"/>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（2）公布在投标截止时间前递交投标文件的</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名称；</w:t>
      </w:r>
    </w:p>
    <w:p w14:paraId="7176CB09">
      <w:pPr>
        <w:autoSpaceDE w:val="0"/>
        <w:autoSpaceDN w:val="0"/>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（3）宣布开标人、唱标人、记录人、监标人等有关人员姓名；</w:t>
      </w:r>
    </w:p>
    <w:p w14:paraId="62DA45CE">
      <w:pPr>
        <w:autoSpaceDE w:val="0"/>
        <w:autoSpaceDN w:val="0"/>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（4）开标，公布</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名称、投标报价、质量目标、合同履行期限及其他内容；</w:t>
      </w:r>
    </w:p>
    <w:p w14:paraId="05364FEB">
      <w:pPr>
        <w:autoSpaceDE w:val="0"/>
        <w:autoSpaceDN w:val="0"/>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代表在</w:t>
      </w:r>
      <w:r>
        <w:rPr>
          <w:rFonts w:hint="eastAsia" w:ascii="宋体" w:hAnsi="宋体" w:eastAsia="宋体" w:cs="宋体"/>
          <w:color w:val="auto"/>
          <w:sz w:val="24"/>
          <w:szCs w:val="24"/>
          <w:highlight w:val="none"/>
          <w:lang w:bidi="ar"/>
        </w:rPr>
        <w:t>“政采云”平台</w:t>
      </w:r>
      <w:r>
        <w:rPr>
          <w:rFonts w:hint="eastAsia" w:ascii="宋体" w:hAnsi="宋体" w:eastAsia="宋体" w:cs="宋体"/>
          <w:color w:val="auto"/>
          <w:kern w:val="0"/>
          <w:sz w:val="24"/>
          <w:szCs w:val="24"/>
          <w:highlight w:val="none"/>
        </w:rPr>
        <w:t>确认报价；</w:t>
      </w:r>
    </w:p>
    <w:p w14:paraId="2DE5BBC2">
      <w:pPr>
        <w:autoSpaceDE w:val="0"/>
        <w:autoSpaceDN w:val="0"/>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（6）开标结束。</w:t>
      </w:r>
    </w:p>
    <w:p w14:paraId="4CCAA485">
      <w:pPr>
        <w:autoSpaceDE w:val="0"/>
        <w:autoSpaceDN w:val="0"/>
        <w:ind w:firstLine="42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以上开标程序仅供参考，具体以</w:t>
      </w:r>
      <w:r>
        <w:rPr>
          <w:rFonts w:hint="eastAsia" w:ascii="宋体" w:hAnsi="宋体" w:eastAsia="宋体" w:cs="宋体"/>
          <w:color w:val="auto"/>
          <w:sz w:val="24"/>
          <w:szCs w:val="24"/>
          <w:highlight w:val="none"/>
          <w:lang w:bidi="ar"/>
        </w:rPr>
        <w:t>“政采云”平台</w:t>
      </w:r>
      <w:r>
        <w:rPr>
          <w:rFonts w:hint="eastAsia" w:ascii="宋体" w:hAnsi="宋体" w:eastAsia="宋体" w:cs="宋体"/>
          <w:color w:val="auto"/>
          <w:kern w:val="0"/>
          <w:sz w:val="24"/>
          <w:szCs w:val="24"/>
          <w:highlight w:val="none"/>
        </w:rPr>
        <w:t>现场为准，政采云开标，只需要解密及确认报价即可，其他内容，</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注意观看自己解密电脑屏幕，即可获取开标相关信息。</w:t>
      </w:r>
    </w:p>
    <w:p w14:paraId="5A0A47B6">
      <w:pPr>
        <w:ind w:firstLine="0" w:firstLineChars="0"/>
        <w:rPr>
          <w:rFonts w:hint="eastAsia" w:ascii="宋体" w:hAnsi="宋体" w:eastAsia="宋体" w:cs="宋体"/>
          <w:b/>
          <w:color w:val="auto"/>
          <w:sz w:val="24"/>
          <w:szCs w:val="24"/>
          <w:highlight w:val="none"/>
        </w:rPr>
      </w:pPr>
      <w:bookmarkStart w:id="55" w:name="_Toc452632698"/>
      <w:bookmarkStart w:id="56" w:name="_Toc471222469"/>
      <w:bookmarkStart w:id="57" w:name="_Toc230599445"/>
      <w:r>
        <w:rPr>
          <w:rFonts w:hint="eastAsia" w:ascii="宋体" w:hAnsi="宋体" w:eastAsia="宋体" w:cs="宋体"/>
          <w:b/>
          <w:color w:val="auto"/>
          <w:sz w:val="24"/>
          <w:szCs w:val="24"/>
          <w:highlight w:val="none"/>
        </w:rPr>
        <w:t>6. 评标</w:t>
      </w:r>
      <w:bookmarkEnd w:id="55"/>
      <w:bookmarkEnd w:id="56"/>
      <w:bookmarkEnd w:id="57"/>
    </w:p>
    <w:p w14:paraId="6A287C48">
      <w:pPr>
        <w:autoSpaceDE w:val="0"/>
        <w:autoSpaceDN w:val="0"/>
        <w:ind w:firstLine="422"/>
        <w:jc w:val="left"/>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6.1 评标委员会</w:t>
      </w:r>
    </w:p>
    <w:p w14:paraId="38A18146">
      <w:pPr>
        <w:autoSpaceDE w:val="0"/>
        <w:autoSpaceDN w:val="0"/>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6.1.1 评标由采购人依法组建的评标委员会负责。评标委员会成员均为</w:t>
      </w:r>
      <w:r>
        <w:rPr>
          <w:rFonts w:hint="eastAsia" w:ascii="宋体" w:hAnsi="宋体" w:eastAsia="宋体" w:cs="宋体"/>
          <w:color w:val="auto"/>
          <w:sz w:val="24"/>
          <w:szCs w:val="24"/>
          <w:highlight w:val="none"/>
          <w:lang w:bidi="ar"/>
        </w:rPr>
        <w:t>“政采云”平台</w:t>
      </w:r>
      <w:r>
        <w:rPr>
          <w:rFonts w:hint="eastAsia" w:ascii="宋体" w:hAnsi="宋体" w:eastAsia="宋体" w:cs="宋体"/>
          <w:color w:val="auto"/>
          <w:kern w:val="0"/>
          <w:sz w:val="24"/>
          <w:szCs w:val="24"/>
          <w:highlight w:val="none"/>
        </w:rPr>
        <w:t>专家库随机抽取。评标委员会成员人数以及技术、经济等方面专家的确定方式见</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须知前附表。</w:t>
      </w:r>
    </w:p>
    <w:p w14:paraId="35E53913">
      <w:pPr>
        <w:autoSpaceDE w:val="0"/>
        <w:autoSpaceDN w:val="0"/>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6.1.2 评标委员会成员有下列情形之一的，应当回避：</w:t>
      </w:r>
    </w:p>
    <w:p w14:paraId="331E197E">
      <w:pPr>
        <w:autoSpaceDE w:val="0"/>
        <w:autoSpaceDN w:val="0"/>
        <w:ind w:firstLine="240" w:firstLineChars="1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（1）采购人或</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的主要负责人的近亲属；</w:t>
      </w:r>
    </w:p>
    <w:p w14:paraId="0A2C058B">
      <w:pPr>
        <w:autoSpaceDE w:val="0"/>
        <w:autoSpaceDN w:val="0"/>
        <w:ind w:firstLine="240" w:firstLineChars="1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（2）项目主管部门或者行政监督部门的人员；</w:t>
      </w:r>
    </w:p>
    <w:p w14:paraId="45197AC8">
      <w:pPr>
        <w:autoSpaceDE w:val="0"/>
        <w:autoSpaceDN w:val="0"/>
        <w:ind w:firstLine="240" w:firstLineChars="1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（3）与</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有经济利益关系，可能影响对投标公正评审的；</w:t>
      </w:r>
    </w:p>
    <w:p w14:paraId="5E54D6B1">
      <w:pPr>
        <w:autoSpaceDE w:val="0"/>
        <w:autoSpaceDN w:val="0"/>
        <w:ind w:firstLine="240" w:firstLineChars="1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（4）曾因在招标、评标以及其他与招标投标有关活动中从事违法行为而受过行政处罚或刑事处罚的。</w:t>
      </w:r>
    </w:p>
    <w:p w14:paraId="4CEF5D5B">
      <w:pPr>
        <w:autoSpaceDE w:val="0"/>
        <w:autoSpaceDN w:val="0"/>
        <w:ind w:firstLine="422"/>
        <w:jc w:val="left"/>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6.2 评标原则</w:t>
      </w:r>
    </w:p>
    <w:p w14:paraId="548DB813">
      <w:pPr>
        <w:autoSpaceDE w:val="0"/>
        <w:autoSpaceDN w:val="0"/>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评标活动遵循公平、公正、科学和择优的原则。</w:t>
      </w:r>
    </w:p>
    <w:p w14:paraId="45BAD559">
      <w:pPr>
        <w:autoSpaceDE w:val="0"/>
        <w:autoSpaceDN w:val="0"/>
        <w:ind w:firstLine="422"/>
        <w:jc w:val="left"/>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6.3 评标</w:t>
      </w:r>
    </w:p>
    <w:p w14:paraId="7610E287">
      <w:pPr>
        <w:autoSpaceDE w:val="0"/>
        <w:autoSpaceDN w:val="0"/>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评标委员会按照第三章“评标办法”规定的方法、评审因素、标准和程序对投标文件进行评审。第三章“评标办法”没有规定的方法、评审因素和标准，不作为评标依据。</w:t>
      </w:r>
    </w:p>
    <w:p w14:paraId="5E0C25C2">
      <w:pPr>
        <w:ind w:firstLine="0" w:firstLineChars="0"/>
        <w:rPr>
          <w:rFonts w:hint="eastAsia" w:ascii="宋体" w:hAnsi="宋体" w:eastAsia="宋体" w:cs="宋体"/>
          <w:b/>
          <w:color w:val="auto"/>
          <w:sz w:val="24"/>
          <w:szCs w:val="24"/>
          <w:highlight w:val="none"/>
        </w:rPr>
      </w:pPr>
      <w:bookmarkStart w:id="58" w:name="_Toc230599446"/>
      <w:bookmarkStart w:id="59" w:name="_Toc471222470"/>
      <w:bookmarkStart w:id="60" w:name="_Toc452632699"/>
      <w:r>
        <w:rPr>
          <w:rFonts w:hint="eastAsia" w:ascii="宋体" w:hAnsi="宋体" w:eastAsia="宋体" w:cs="宋体"/>
          <w:b/>
          <w:color w:val="auto"/>
          <w:sz w:val="24"/>
          <w:szCs w:val="24"/>
          <w:highlight w:val="none"/>
        </w:rPr>
        <w:t>7. 合同授予</w:t>
      </w:r>
      <w:bookmarkEnd w:id="58"/>
      <w:bookmarkEnd w:id="59"/>
      <w:bookmarkEnd w:id="60"/>
    </w:p>
    <w:p w14:paraId="5E449A24">
      <w:pPr>
        <w:autoSpaceDE w:val="0"/>
        <w:autoSpaceDN w:val="0"/>
        <w:ind w:firstLine="422"/>
        <w:jc w:val="left"/>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7.1 定标方式</w:t>
      </w:r>
    </w:p>
    <w:p w14:paraId="0D54DCBF">
      <w:pPr>
        <w:autoSpaceDE w:val="0"/>
        <w:autoSpaceDN w:val="0"/>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除</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须知前附表规定评标委员会直接确定</w:t>
      </w:r>
      <w:r>
        <w:rPr>
          <w:rFonts w:hint="eastAsia" w:ascii="宋体" w:hAnsi="宋体" w:eastAsia="宋体" w:cs="宋体"/>
          <w:color w:val="auto"/>
          <w:kern w:val="0"/>
          <w:sz w:val="24"/>
          <w:szCs w:val="24"/>
          <w:highlight w:val="none"/>
          <w:lang w:eastAsia="zh-CN"/>
        </w:rPr>
        <w:t>中标投标人</w:t>
      </w:r>
      <w:r>
        <w:rPr>
          <w:rFonts w:hint="eastAsia" w:ascii="宋体" w:hAnsi="宋体" w:eastAsia="宋体" w:cs="宋体"/>
          <w:color w:val="auto"/>
          <w:kern w:val="0"/>
          <w:sz w:val="24"/>
          <w:szCs w:val="24"/>
          <w:highlight w:val="none"/>
        </w:rPr>
        <w:t>外，采购人依据评标委员会推荐的</w:t>
      </w:r>
      <w:r>
        <w:rPr>
          <w:rFonts w:hint="eastAsia" w:ascii="宋体" w:hAnsi="宋体" w:eastAsia="宋体" w:cs="宋体"/>
          <w:color w:val="auto"/>
          <w:kern w:val="0"/>
          <w:sz w:val="24"/>
          <w:szCs w:val="24"/>
          <w:highlight w:val="none"/>
          <w:lang w:eastAsia="zh-CN"/>
        </w:rPr>
        <w:t>中标候选人</w:t>
      </w:r>
      <w:r>
        <w:rPr>
          <w:rFonts w:hint="eastAsia" w:ascii="宋体" w:hAnsi="宋体" w:eastAsia="宋体" w:cs="宋体"/>
          <w:color w:val="auto"/>
          <w:kern w:val="0"/>
          <w:sz w:val="24"/>
          <w:szCs w:val="24"/>
          <w:highlight w:val="none"/>
        </w:rPr>
        <w:t>确定</w:t>
      </w:r>
      <w:r>
        <w:rPr>
          <w:rFonts w:hint="eastAsia" w:ascii="宋体" w:hAnsi="宋体" w:eastAsia="宋体" w:cs="宋体"/>
          <w:color w:val="auto"/>
          <w:kern w:val="0"/>
          <w:sz w:val="24"/>
          <w:szCs w:val="24"/>
          <w:highlight w:val="none"/>
          <w:lang w:eastAsia="zh-CN"/>
        </w:rPr>
        <w:t>中标投标人</w:t>
      </w:r>
      <w:r>
        <w:rPr>
          <w:rFonts w:hint="eastAsia" w:ascii="宋体" w:hAnsi="宋体" w:eastAsia="宋体" w:cs="宋体"/>
          <w:color w:val="auto"/>
          <w:kern w:val="0"/>
          <w:sz w:val="24"/>
          <w:szCs w:val="24"/>
          <w:highlight w:val="none"/>
        </w:rPr>
        <w:t>，评标委员会推荐3名</w:t>
      </w:r>
      <w:r>
        <w:rPr>
          <w:rFonts w:hint="eastAsia" w:ascii="宋体" w:hAnsi="宋体" w:eastAsia="宋体" w:cs="宋体"/>
          <w:color w:val="auto"/>
          <w:kern w:val="0"/>
          <w:sz w:val="24"/>
          <w:szCs w:val="24"/>
          <w:highlight w:val="none"/>
          <w:lang w:eastAsia="zh-CN"/>
        </w:rPr>
        <w:t>中标候选人</w:t>
      </w:r>
      <w:r>
        <w:rPr>
          <w:rFonts w:hint="eastAsia" w:ascii="宋体" w:hAnsi="宋体" w:eastAsia="宋体" w:cs="宋体"/>
          <w:color w:val="auto"/>
          <w:kern w:val="0"/>
          <w:sz w:val="24"/>
          <w:szCs w:val="24"/>
          <w:highlight w:val="none"/>
        </w:rPr>
        <w:t>。</w:t>
      </w:r>
    </w:p>
    <w:p w14:paraId="3F7F1A31">
      <w:pPr>
        <w:autoSpaceDE w:val="0"/>
        <w:autoSpaceDN w:val="0"/>
        <w:ind w:firstLine="422"/>
        <w:jc w:val="left"/>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 xml:space="preserve">7.2 </w:t>
      </w:r>
      <w:r>
        <w:rPr>
          <w:rFonts w:hint="eastAsia" w:ascii="宋体" w:hAnsi="宋体" w:eastAsia="宋体" w:cs="宋体"/>
          <w:b/>
          <w:color w:val="auto"/>
          <w:kern w:val="0"/>
          <w:sz w:val="24"/>
          <w:szCs w:val="24"/>
          <w:highlight w:val="none"/>
          <w:lang w:eastAsia="zh-CN"/>
        </w:rPr>
        <w:t>中标</w:t>
      </w:r>
      <w:r>
        <w:rPr>
          <w:rFonts w:hint="eastAsia" w:ascii="宋体" w:hAnsi="宋体" w:eastAsia="宋体" w:cs="宋体"/>
          <w:b/>
          <w:color w:val="auto"/>
          <w:kern w:val="0"/>
          <w:sz w:val="24"/>
          <w:szCs w:val="24"/>
          <w:highlight w:val="none"/>
        </w:rPr>
        <w:t>通知</w:t>
      </w:r>
    </w:p>
    <w:p w14:paraId="30D12545">
      <w:pPr>
        <w:autoSpaceDE w:val="0"/>
        <w:autoSpaceDN w:val="0"/>
        <w:ind w:firstLine="420"/>
        <w:jc w:val="left"/>
        <w:rPr>
          <w:rFonts w:hint="eastAsia" w:ascii="宋体" w:hAnsi="宋体" w:eastAsia="宋体" w:cs="宋体"/>
          <w:bCs/>
          <w:color w:val="auto"/>
          <w:kern w:val="0"/>
          <w:sz w:val="24"/>
          <w:szCs w:val="24"/>
          <w:highlight w:val="none"/>
        </w:rPr>
      </w:pPr>
      <w:r>
        <w:rPr>
          <w:rFonts w:hint="eastAsia" w:ascii="宋体" w:hAnsi="宋体" w:eastAsia="宋体" w:cs="宋体"/>
          <w:color w:val="auto"/>
          <w:kern w:val="0"/>
          <w:sz w:val="24"/>
          <w:szCs w:val="24"/>
          <w:highlight w:val="none"/>
        </w:rPr>
        <w:t>在规定的投标有效期内，采购人确认</w:t>
      </w:r>
      <w:r>
        <w:rPr>
          <w:rFonts w:hint="eastAsia" w:ascii="宋体" w:hAnsi="宋体" w:eastAsia="宋体" w:cs="宋体"/>
          <w:color w:val="auto"/>
          <w:kern w:val="0"/>
          <w:sz w:val="24"/>
          <w:szCs w:val="24"/>
          <w:highlight w:val="none"/>
          <w:lang w:eastAsia="zh-CN"/>
        </w:rPr>
        <w:t>中标</w:t>
      </w:r>
      <w:r>
        <w:rPr>
          <w:rFonts w:hint="eastAsia" w:ascii="宋体" w:hAnsi="宋体" w:eastAsia="宋体" w:cs="宋体"/>
          <w:color w:val="auto"/>
          <w:kern w:val="0"/>
          <w:sz w:val="24"/>
          <w:szCs w:val="24"/>
          <w:highlight w:val="none"/>
        </w:rPr>
        <w:t>结果，并同时在发布招标公告的媒介公告</w:t>
      </w:r>
      <w:r>
        <w:rPr>
          <w:rFonts w:hint="eastAsia" w:ascii="宋体" w:hAnsi="宋体" w:eastAsia="宋体" w:cs="宋体"/>
          <w:color w:val="auto"/>
          <w:kern w:val="0"/>
          <w:sz w:val="24"/>
          <w:szCs w:val="24"/>
          <w:highlight w:val="none"/>
          <w:lang w:eastAsia="zh-CN"/>
        </w:rPr>
        <w:t>中标投标人</w:t>
      </w:r>
      <w:r>
        <w:rPr>
          <w:rFonts w:hint="eastAsia" w:ascii="宋体" w:hAnsi="宋体" w:eastAsia="宋体" w:cs="宋体"/>
          <w:color w:val="auto"/>
          <w:kern w:val="0"/>
          <w:sz w:val="24"/>
          <w:szCs w:val="24"/>
          <w:highlight w:val="none"/>
        </w:rPr>
        <w:t>情况。采购人同时以书面形式向</w:t>
      </w:r>
      <w:r>
        <w:rPr>
          <w:rFonts w:hint="eastAsia" w:ascii="宋体" w:hAnsi="宋体" w:eastAsia="宋体" w:cs="宋体"/>
          <w:color w:val="auto"/>
          <w:kern w:val="0"/>
          <w:sz w:val="24"/>
          <w:szCs w:val="24"/>
          <w:highlight w:val="none"/>
          <w:lang w:eastAsia="zh-CN"/>
        </w:rPr>
        <w:t>中标投标人</w:t>
      </w:r>
      <w:r>
        <w:rPr>
          <w:rFonts w:hint="eastAsia" w:ascii="宋体" w:hAnsi="宋体" w:eastAsia="宋体" w:cs="宋体"/>
          <w:color w:val="auto"/>
          <w:kern w:val="0"/>
          <w:sz w:val="24"/>
          <w:szCs w:val="24"/>
          <w:highlight w:val="none"/>
        </w:rPr>
        <w:t>发出</w:t>
      </w:r>
      <w:r>
        <w:rPr>
          <w:rFonts w:hint="eastAsia" w:ascii="宋体" w:hAnsi="宋体" w:eastAsia="宋体" w:cs="宋体"/>
          <w:color w:val="auto"/>
          <w:kern w:val="0"/>
          <w:sz w:val="24"/>
          <w:szCs w:val="24"/>
          <w:highlight w:val="none"/>
          <w:lang w:eastAsia="zh-CN"/>
        </w:rPr>
        <w:t>中标</w:t>
      </w:r>
      <w:r>
        <w:rPr>
          <w:rFonts w:hint="eastAsia" w:ascii="宋体" w:hAnsi="宋体" w:eastAsia="宋体" w:cs="宋体"/>
          <w:color w:val="auto"/>
          <w:kern w:val="0"/>
          <w:sz w:val="24"/>
          <w:szCs w:val="24"/>
          <w:highlight w:val="none"/>
        </w:rPr>
        <w:t>通知书。</w:t>
      </w:r>
      <w:r>
        <w:rPr>
          <w:rFonts w:hint="eastAsia" w:ascii="宋体" w:hAnsi="宋体" w:eastAsia="宋体" w:cs="宋体"/>
          <w:bCs/>
          <w:color w:val="auto"/>
          <w:kern w:val="0"/>
          <w:sz w:val="24"/>
          <w:szCs w:val="24"/>
          <w:highlight w:val="none"/>
        </w:rPr>
        <w:t>采购人不保证投标报价最低的</w:t>
      </w:r>
      <w:r>
        <w:rPr>
          <w:rFonts w:hint="eastAsia" w:ascii="宋体" w:hAnsi="宋体" w:eastAsia="宋体" w:cs="宋体"/>
          <w:bCs/>
          <w:color w:val="auto"/>
          <w:kern w:val="0"/>
          <w:sz w:val="24"/>
          <w:szCs w:val="24"/>
          <w:highlight w:val="none"/>
          <w:lang w:eastAsia="zh-CN"/>
        </w:rPr>
        <w:t>投标人中标</w:t>
      </w:r>
      <w:r>
        <w:rPr>
          <w:rFonts w:hint="eastAsia" w:ascii="宋体" w:hAnsi="宋体" w:eastAsia="宋体" w:cs="宋体"/>
          <w:bCs/>
          <w:color w:val="auto"/>
          <w:kern w:val="0"/>
          <w:sz w:val="24"/>
          <w:szCs w:val="24"/>
          <w:highlight w:val="none"/>
        </w:rPr>
        <w:t>，也没有义务对未</w:t>
      </w:r>
      <w:r>
        <w:rPr>
          <w:rFonts w:hint="eastAsia" w:ascii="宋体" w:hAnsi="宋体" w:eastAsia="宋体" w:cs="宋体"/>
          <w:bCs/>
          <w:color w:val="auto"/>
          <w:kern w:val="0"/>
          <w:sz w:val="24"/>
          <w:szCs w:val="24"/>
          <w:highlight w:val="none"/>
          <w:lang w:eastAsia="zh-CN"/>
        </w:rPr>
        <w:t>中标</w:t>
      </w:r>
      <w:r>
        <w:rPr>
          <w:rFonts w:hint="eastAsia" w:ascii="宋体" w:hAnsi="宋体" w:eastAsia="宋体" w:cs="宋体"/>
          <w:bCs/>
          <w:color w:val="auto"/>
          <w:kern w:val="0"/>
          <w:sz w:val="24"/>
          <w:szCs w:val="24"/>
          <w:highlight w:val="none"/>
        </w:rPr>
        <w:t>的</w:t>
      </w:r>
      <w:r>
        <w:rPr>
          <w:rFonts w:hint="eastAsia" w:ascii="宋体" w:hAnsi="宋体" w:eastAsia="宋体" w:cs="宋体"/>
          <w:bCs/>
          <w:color w:val="auto"/>
          <w:kern w:val="0"/>
          <w:sz w:val="24"/>
          <w:szCs w:val="24"/>
          <w:highlight w:val="none"/>
          <w:lang w:eastAsia="zh-CN"/>
        </w:rPr>
        <w:t>投标人</w:t>
      </w:r>
      <w:r>
        <w:rPr>
          <w:rFonts w:hint="eastAsia" w:ascii="宋体" w:hAnsi="宋体" w:eastAsia="宋体" w:cs="宋体"/>
          <w:bCs/>
          <w:color w:val="auto"/>
          <w:kern w:val="0"/>
          <w:sz w:val="24"/>
          <w:szCs w:val="24"/>
          <w:highlight w:val="none"/>
        </w:rPr>
        <w:t>作任何解释和说明。</w:t>
      </w:r>
    </w:p>
    <w:p w14:paraId="3116B218">
      <w:pPr>
        <w:ind w:firstLine="422"/>
        <w:rPr>
          <w:rFonts w:hint="eastAsia" w:ascii="宋体" w:hAnsi="宋体" w:eastAsia="宋体" w:cs="宋体"/>
          <w:b/>
          <w:color w:val="auto"/>
          <w:sz w:val="24"/>
          <w:szCs w:val="24"/>
          <w:highlight w:val="none"/>
        </w:rPr>
      </w:pPr>
      <w:bookmarkStart w:id="61" w:name="_Toc144974537"/>
      <w:bookmarkStart w:id="62" w:name="_Toc152042345"/>
      <w:bookmarkStart w:id="63" w:name="_Toc179632587"/>
      <w:bookmarkStart w:id="64" w:name="_Toc152045569"/>
      <w:r>
        <w:rPr>
          <w:rFonts w:hint="eastAsia" w:ascii="宋体" w:hAnsi="宋体" w:eastAsia="宋体" w:cs="宋体"/>
          <w:b/>
          <w:color w:val="auto"/>
          <w:sz w:val="24"/>
          <w:szCs w:val="24"/>
          <w:highlight w:val="none"/>
        </w:rPr>
        <w:t>7.3 履约担保</w:t>
      </w:r>
      <w:bookmarkEnd w:id="61"/>
      <w:bookmarkEnd w:id="62"/>
      <w:bookmarkEnd w:id="63"/>
      <w:bookmarkEnd w:id="64"/>
    </w:p>
    <w:p w14:paraId="7EE09AA9">
      <w:pPr>
        <w:autoSpaceDE w:val="0"/>
        <w:autoSpaceDN w:val="0"/>
        <w:ind w:firstLine="422"/>
        <w:jc w:val="left"/>
        <w:rPr>
          <w:rFonts w:hint="eastAsia" w:ascii="宋体" w:hAnsi="宋体" w:eastAsia="宋体" w:cs="宋体"/>
          <w:b/>
          <w:color w:val="auto"/>
          <w:kern w:val="0"/>
          <w:sz w:val="24"/>
          <w:szCs w:val="24"/>
          <w:highlight w:val="none"/>
          <w:lang w:val="en-US" w:eastAsia="zh-CN"/>
        </w:rPr>
      </w:pPr>
      <w:r>
        <w:rPr>
          <w:rFonts w:hint="eastAsia" w:ascii="宋体" w:hAnsi="宋体" w:eastAsia="宋体" w:cs="宋体"/>
          <w:b/>
          <w:color w:val="auto"/>
          <w:kern w:val="0"/>
          <w:sz w:val="24"/>
          <w:szCs w:val="24"/>
          <w:highlight w:val="none"/>
          <w:lang w:val="en-US" w:eastAsia="zh-CN"/>
        </w:rPr>
        <w:t>无</w:t>
      </w:r>
    </w:p>
    <w:p w14:paraId="5DD3296E">
      <w:pPr>
        <w:autoSpaceDE w:val="0"/>
        <w:autoSpaceDN w:val="0"/>
        <w:ind w:firstLine="422"/>
        <w:jc w:val="left"/>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7.4 签订合同</w:t>
      </w:r>
    </w:p>
    <w:p w14:paraId="00FD26CD">
      <w:pPr>
        <w:autoSpaceDE w:val="0"/>
        <w:autoSpaceDN w:val="0"/>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采购人和</w:t>
      </w:r>
      <w:r>
        <w:rPr>
          <w:rFonts w:hint="eastAsia" w:ascii="宋体" w:hAnsi="宋体" w:eastAsia="宋体" w:cs="宋体"/>
          <w:color w:val="auto"/>
          <w:kern w:val="0"/>
          <w:sz w:val="24"/>
          <w:szCs w:val="24"/>
          <w:highlight w:val="none"/>
          <w:lang w:eastAsia="zh-CN"/>
        </w:rPr>
        <w:t>中标投标人</w:t>
      </w:r>
      <w:r>
        <w:rPr>
          <w:rFonts w:hint="eastAsia" w:ascii="宋体" w:hAnsi="宋体" w:eastAsia="宋体" w:cs="宋体"/>
          <w:color w:val="auto"/>
          <w:kern w:val="0"/>
          <w:sz w:val="24"/>
          <w:szCs w:val="24"/>
          <w:highlight w:val="none"/>
        </w:rPr>
        <w:t>应当自</w:t>
      </w:r>
      <w:r>
        <w:rPr>
          <w:rFonts w:hint="eastAsia" w:ascii="宋体" w:hAnsi="宋体" w:eastAsia="宋体" w:cs="宋体"/>
          <w:color w:val="auto"/>
          <w:kern w:val="0"/>
          <w:sz w:val="24"/>
          <w:szCs w:val="24"/>
          <w:highlight w:val="none"/>
          <w:lang w:eastAsia="zh-CN"/>
        </w:rPr>
        <w:t>中标</w:t>
      </w:r>
      <w:r>
        <w:rPr>
          <w:rFonts w:hint="eastAsia" w:ascii="宋体" w:hAnsi="宋体" w:eastAsia="宋体" w:cs="宋体"/>
          <w:color w:val="auto"/>
          <w:kern w:val="0"/>
          <w:sz w:val="24"/>
          <w:szCs w:val="24"/>
          <w:highlight w:val="none"/>
        </w:rPr>
        <w:t>通知书发出之日起30天内，根据招标文件和</w:t>
      </w:r>
      <w:r>
        <w:rPr>
          <w:rFonts w:hint="eastAsia" w:ascii="宋体" w:hAnsi="宋体" w:eastAsia="宋体" w:cs="宋体"/>
          <w:color w:val="auto"/>
          <w:kern w:val="0"/>
          <w:sz w:val="24"/>
          <w:szCs w:val="24"/>
          <w:highlight w:val="none"/>
          <w:lang w:eastAsia="zh-CN"/>
        </w:rPr>
        <w:t>中标投标人</w:t>
      </w:r>
      <w:r>
        <w:rPr>
          <w:rFonts w:hint="eastAsia" w:ascii="宋体" w:hAnsi="宋体" w:eastAsia="宋体" w:cs="宋体"/>
          <w:color w:val="auto"/>
          <w:kern w:val="0"/>
          <w:sz w:val="24"/>
          <w:szCs w:val="24"/>
          <w:highlight w:val="none"/>
        </w:rPr>
        <w:t>的投标文件订立书面合同，同时按照招标文件规定提交其他材料。</w:t>
      </w:r>
      <w:r>
        <w:rPr>
          <w:rFonts w:hint="eastAsia" w:ascii="宋体" w:hAnsi="宋体" w:eastAsia="宋体" w:cs="宋体"/>
          <w:color w:val="auto"/>
          <w:kern w:val="0"/>
          <w:sz w:val="24"/>
          <w:szCs w:val="24"/>
          <w:highlight w:val="none"/>
          <w:lang w:eastAsia="zh-CN"/>
        </w:rPr>
        <w:t>中标投标人</w:t>
      </w:r>
      <w:r>
        <w:rPr>
          <w:rFonts w:hint="eastAsia" w:ascii="宋体" w:hAnsi="宋体" w:eastAsia="宋体" w:cs="宋体"/>
          <w:color w:val="auto"/>
          <w:kern w:val="0"/>
          <w:sz w:val="24"/>
          <w:szCs w:val="24"/>
          <w:highlight w:val="none"/>
        </w:rPr>
        <w:t>无正当理由拒签合同的，采购人取消其</w:t>
      </w:r>
      <w:r>
        <w:rPr>
          <w:rFonts w:hint="eastAsia" w:ascii="宋体" w:hAnsi="宋体" w:eastAsia="宋体" w:cs="宋体"/>
          <w:color w:val="auto"/>
          <w:kern w:val="0"/>
          <w:sz w:val="24"/>
          <w:szCs w:val="24"/>
          <w:highlight w:val="none"/>
          <w:lang w:eastAsia="zh-CN"/>
        </w:rPr>
        <w:t>中标</w:t>
      </w:r>
      <w:r>
        <w:rPr>
          <w:rFonts w:hint="eastAsia" w:ascii="宋体" w:hAnsi="宋体" w:eastAsia="宋体" w:cs="宋体"/>
          <w:color w:val="auto"/>
          <w:kern w:val="0"/>
          <w:sz w:val="24"/>
          <w:szCs w:val="24"/>
          <w:highlight w:val="none"/>
        </w:rPr>
        <w:t>资格，并且对采购人损失进行赔偿。</w:t>
      </w:r>
    </w:p>
    <w:p w14:paraId="7DC46EEB">
      <w:pPr>
        <w:ind w:firstLine="0" w:firstLineChars="0"/>
        <w:rPr>
          <w:rFonts w:hint="eastAsia" w:ascii="宋体" w:hAnsi="宋体" w:eastAsia="宋体" w:cs="宋体"/>
          <w:b/>
          <w:color w:val="auto"/>
          <w:sz w:val="24"/>
          <w:szCs w:val="24"/>
          <w:highlight w:val="none"/>
        </w:rPr>
      </w:pPr>
      <w:bookmarkStart w:id="65" w:name="_Toc452632700"/>
      <w:bookmarkStart w:id="66" w:name="_Toc230599447"/>
      <w:bookmarkStart w:id="67" w:name="_Toc471222471"/>
      <w:r>
        <w:rPr>
          <w:rFonts w:hint="eastAsia" w:ascii="宋体" w:hAnsi="宋体" w:eastAsia="宋体" w:cs="宋体"/>
          <w:b/>
          <w:color w:val="auto"/>
          <w:sz w:val="24"/>
          <w:szCs w:val="24"/>
          <w:highlight w:val="none"/>
        </w:rPr>
        <w:t>8. 重新招标和不再招标</w:t>
      </w:r>
      <w:bookmarkEnd w:id="65"/>
      <w:bookmarkEnd w:id="66"/>
      <w:bookmarkEnd w:id="67"/>
    </w:p>
    <w:p w14:paraId="5AA40ED5">
      <w:pPr>
        <w:autoSpaceDE w:val="0"/>
        <w:autoSpaceDN w:val="0"/>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重新招标</w:t>
      </w:r>
    </w:p>
    <w:p w14:paraId="502EE34E">
      <w:pPr>
        <w:autoSpaceDE w:val="0"/>
        <w:autoSpaceDN w:val="0"/>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有下列情形之一的，采购人将重新招标：</w:t>
      </w:r>
    </w:p>
    <w:p w14:paraId="3C79B34E">
      <w:pPr>
        <w:autoSpaceDE w:val="0"/>
        <w:autoSpaceDN w:val="0"/>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（1）投标截止时间止，</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少于3个的；</w:t>
      </w:r>
    </w:p>
    <w:p w14:paraId="7EE84EDA">
      <w:pPr>
        <w:autoSpaceDE w:val="0"/>
        <w:autoSpaceDN w:val="0"/>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（2）经评标委员会评审后否决所有投标的；</w:t>
      </w:r>
    </w:p>
    <w:p w14:paraId="7E74AB46">
      <w:pPr>
        <w:autoSpaceDE w:val="0"/>
        <w:autoSpaceDN w:val="0"/>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（3）经评标委员会评审后有效</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不足3家的。</w:t>
      </w:r>
    </w:p>
    <w:p w14:paraId="359874A6">
      <w:pPr>
        <w:pStyle w:val="8"/>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（4）法律规定的其他情形</w:t>
      </w:r>
    </w:p>
    <w:p w14:paraId="5B53387C">
      <w:pPr>
        <w:ind w:firstLine="0" w:firstLineChars="0"/>
        <w:rPr>
          <w:rFonts w:hint="eastAsia" w:ascii="宋体" w:hAnsi="宋体" w:eastAsia="宋体" w:cs="宋体"/>
          <w:b/>
          <w:color w:val="auto"/>
          <w:sz w:val="24"/>
          <w:szCs w:val="24"/>
          <w:highlight w:val="none"/>
        </w:rPr>
      </w:pPr>
      <w:bookmarkStart w:id="68" w:name="_Toc452632701"/>
      <w:bookmarkStart w:id="69" w:name="_Toc230599448"/>
      <w:bookmarkStart w:id="70" w:name="_Toc471222472"/>
      <w:r>
        <w:rPr>
          <w:rFonts w:hint="eastAsia" w:ascii="宋体" w:hAnsi="宋体" w:eastAsia="宋体" w:cs="宋体"/>
          <w:b/>
          <w:color w:val="auto"/>
          <w:sz w:val="24"/>
          <w:szCs w:val="24"/>
          <w:highlight w:val="none"/>
        </w:rPr>
        <w:t>9. 纪律和监督</w:t>
      </w:r>
      <w:bookmarkEnd w:id="68"/>
      <w:bookmarkEnd w:id="69"/>
      <w:bookmarkEnd w:id="70"/>
    </w:p>
    <w:p w14:paraId="5189641A">
      <w:pPr>
        <w:autoSpaceDE w:val="0"/>
        <w:autoSpaceDN w:val="0"/>
        <w:ind w:firstLine="422"/>
        <w:jc w:val="left"/>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9.1 对采购人的纪律要求</w:t>
      </w:r>
    </w:p>
    <w:p w14:paraId="79A5FBA1">
      <w:pPr>
        <w:autoSpaceDE w:val="0"/>
        <w:autoSpaceDN w:val="0"/>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采购人不得泄漏招标投标活动中应当保密的情况和资料，不得与</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串通损害国家利益、社会公共利益或者他人合法权益。</w:t>
      </w:r>
    </w:p>
    <w:p w14:paraId="3AD7ED71">
      <w:pPr>
        <w:autoSpaceDE w:val="0"/>
        <w:autoSpaceDN w:val="0"/>
        <w:ind w:firstLine="422"/>
        <w:jc w:val="left"/>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9.2 对</w:t>
      </w:r>
      <w:r>
        <w:rPr>
          <w:rFonts w:hint="eastAsia" w:ascii="宋体" w:hAnsi="宋体" w:eastAsia="宋体" w:cs="宋体"/>
          <w:b/>
          <w:color w:val="auto"/>
          <w:kern w:val="0"/>
          <w:sz w:val="24"/>
          <w:szCs w:val="24"/>
          <w:highlight w:val="none"/>
          <w:lang w:eastAsia="zh-CN"/>
        </w:rPr>
        <w:t>投标人</w:t>
      </w:r>
      <w:r>
        <w:rPr>
          <w:rFonts w:hint="eastAsia" w:ascii="宋体" w:hAnsi="宋体" w:eastAsia="宋体" w:cs="宋体"/>
          <w:b/>
          <w:color w:val="auto"/>
          <w:kern w:val="0"/>
          <w:sz w:val="24"/>
          <w:szCs w:val="24"/>
          <w:highlight w:val="none"/>
        </w:rPr>
        <w:t>的纪律要求</w:t>
      </w:r>
    </w:p>
    <w:p w14:paraId="57830F69">
      <w:pPr>
        <w:autoSpaceDE w:val="0"/>
        <w:autoSpaceDN w:val="0"/>
        <w:ind w:firstLine="422"/>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不得相互串通或者与采购人串通，不得向采购人或者</w:t>
      </w:r>
      <w:r>
        <w:rPr>
          <w:rFonts w:hint="eastAsia" w:hAnsi="宋体" w:cs="宋体"/>
          <w:color w:val="auto"/>
          <w:sz w:val="24"/>
          <w:szCs w:val="24"/>
          <w:highlight w:val="none"/>
          <w:lang w:eastAsia="zh-CN"/>
        </w:rPr>
        <w:t>评标委员会</w:t>
      </w:r>
      <w:r>
        <w:rPr>
          <w:rFonts w:hint="eastAsia" w:ascii="宋体" w:hAnsi="宋体" w:eastAsia="宋体" w:cs="宋体"/>
          <w:color w:val="auto"/>
          <w:sz w:val="24"/>
          <w:szCs w:val="24"/>
          <w:highlight w:val="none"/>
        </w:rPr>
        <w:t>成员行贿谋取</w:t>
      </w:r>
      <w:r>
        <w:rPr>
          <w:rFonts w:hint="eastAsia" w:hAnsi="宋体" w:cs="宋体"/>
          <w:color w:val="auto"/>
          <w:sz w:val="24"/>
          <w:szCs w:val="24"/>
          <w:highlight w:val="none"/>
          <w:lang w:eastAsia="zh-CN"/>
        </w:rPr>
        <w:t>中标</w:t>
      </w:r>
      <w:r>
        <w:rPr>
          <w:rFonts w:hint="eastAsia" w:ascii="宋体" w:hAnsi="宋体" w:eastAsia="宋体" w:cs="宋体"/>
          <w:color w:val="auto"/>
          <w:sz w:val="24"/>
          <w:szCs w:val="24"/>
          <w:highlight w:val="none"/>
        </w:rPr>
        <w:t>，不得以他人名义响应或者以其他方式弄虚作假骗取</w:t>
      </w:r>
      <w:r>
        <w:rPr>
          <w:rFonts w:hint="eastAsia" w:hAnsi="宋体" w:cs="宋体"/>
          <w:color w:val="auto"/>
          <w:sz w:val="24"/>
          <w:szCs w:val="24"/>
          <w:highlight w:val="none"/>
          <w:lang w:eastAsia="zh-CN"/>
        </w:rPr>
        <w:t>中标</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投标人</w:t>
      </w:r>
      <w:r>
        <w:rPr>
          <w:rFonts w:hint="eastAsia" w:ascii="宋体" w:hAnsi="宋体" w:eastAsia="宋体" w:cs="宋体"/>
          <w:color w:val="auto"/>
          <w:sz w:val="24"/>
          <w:szCs w:val="24"/>
          <w:highlight w:val="none"/>
        </w:rPr>
        <w:t>不得以任何方式干扰、影响评审工作。</w:t>
      </w:r>
      <w:r>
        <w:rPr>
          <w:rFonts w:hint="eastAsia" w:ascii="宋体" w:hAnsi="宋体" w:eastAsia="宋体" w:cs="宋体"/>
          <w:color w:val="auto"/>
          <w:sz w:val="24"/>
          <w:szCs w:val="24"/>
          <w:highlight w:val="none"/>
          <w:lang w:val="en-US" w:eastAsia="zh-CN"/>
        </w:rPr>
        <w:t>投标人应作声明响应并附法定代表人签字，此项为实质性内容必须满足要求。</w:t>
      </w:r>
    </w:p>
    <w:p w14:paraId="5A696EEB">
      <w:pPr>
        <w:autoSpaceDE w:val="0"/>
        <w:autoSpaceDN w:val="0"/>
        <w:ind w:firstLine="422"/>
        <w:jc w:val="left"/>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9.3 对评标委员会成员的纪律要求</w:t>
      </w:r>
    </w:p>
    <w:p w14:paraId="2F700AC8">
      <w:pPr>
        <w:autoSpaceDE w:val="0"/>
        <w:autoSpaceDN w:val="0"/>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评标委员会成员不得收受他人的财物或者其他好处，不得向他人透漏对投标文件的评审和比较、</w:t>
      </w:r>
      <w:r>
        <w:rPr>
          <w:rFonts w:hint="eastAsia" w:ascii="宋体" w:hAnsi="宋体" w:eastAsia="宋体" w:cs="宋体"/>
          <w:color w:val="auto"/>
          <w:kern w:val="0"/>
          <w:sz w:val="24"/>
          <w:szCs w:val="24"/>
          <w:highlight w:val="none"/>
          <w:lang w:eastAsia="zh-CN"/>
        </w:rPr>
        <w:t>中标候选人</w:t>
      </w:r>
      <w:r>
        <w:rPr>
          <w:rFonts w:hint="eastAsia" w:ascii="宋体" w:hAnsi="宋体" w:eastAsia="宋体" w:cs="宋体"/>
          <w:color w:val="auto"/>
          <w:kern w:val="0"/>
          <w:sz w:val="24"/>
          <w:szCs w:val="24"/>
          <w:highlight w:val="none"/>
        </w:rPr>
        <w:t>的推荐情况以及评标有关的其他情况。在评标活动中，评标委员会成员不得擅离职守，影响评标程序正常进行，不得使用第三章“评标办法”没有规定的评审因素和标准进行评标。</w:t>
      </w:r>
    </w:p>
    <w:p w14:paraId="7AE9DB17">
      <w:pPr>
        <w:autoSpaceDE w:val="0"/>
        <w:autoSpaceDN w:val="0"/>
        <w:ind w:firstLine="422"/>
        <w:jc w:val="left"/>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9.4 对与评标活动有关的工作人员的纪律要求</w:t>
      </w:r>
    </w:p>
    <w:p w14:paraId="5065C298">
      <w:pPr>
        <w:autoSpaceDE w:val="0"/>
        <w:autoSpaceDN w:val="0"/>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与评标活动有关的工作人员不得收受他人的财物或者其他好处，不得向他人透漏对投标文件的评审和比较、</w:t>
      </w:r>
      <w:r>
        <w:rPr>
          <w:rFonts w:hint="eastAsia" w:ascii="宋体" w:hAnsi="宋体" w:eastAsia="宋体" w:cs="宋体"/>
          <w:color w:val="auto"/>
          <w:kern w:val="0"/>
          <w:sz w:val="24"/>
          <w:szCs w:val="24"/>
          <w:highlight w:val="none"/>
          <w:lang w:eastAsia="zh-CN"/>
        </w:rPr>
        <w:t>中标候选人</w:t>
      </w:r>
      <w:r>
        <w:rPr>
          <w:rFonts w:hint="eastAsia" w:ascii="宋体" w:hAnsi="宋体" w:eastAsia="宋体" w:cs="宋体"/>
          <w:color w:val="auto"/>
          <w:kern w:val="0"/>
          <w:sz w:val="24"/>
          <w:szCs w:val="24"/>
          <w:highlight w:val="none"/>
        </w:rPr>
        <w:t>的推荐情况以及评标有关的其他情况。在评标活动中，与评标活动有关的工作人员不得擅离职守，影响评标程序正常进行。</w:t>
      </w:r>
    </w:p>
    <w:p w14:paraId="5EF6C0D0">
      <w:pPr>
        <w:autoSpaceDE w:val="0"/>
        <w:autoSpaceDN w:val="0"/>
        <w:ind w:firstLine="422"/>
        <w:jc w:val="left"/>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9.5 投诉</w:t>
      </w:r>
    </w:p>
    <w:p w14:paraId="7D37C9D3">
      <w:pPr>
        <w:autoSpaceDE w:val="0"/>
        <w:autoSpaceDN w:val="0"/>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和其他利害关系人认为本次招标活动违反法律、法规和规章规定的，有权向有关行政监督部门投诉。</w:t>
      </w:r>
    </w:p>
    <w:p w14:paraId="14AEC159">
      <w:pPr>
        <w:ind w:firstLine="0" w:firstLineChars="0"/>
        <w:rPr>
          <w:rFonts w:hint="eastAsia" w:ascii="宋体" w:hAnsi="宋体" w:eastAsia="宋体" w:cs="宋体"/>
          <w:b/>
          <w:color w:val="auto"/>
          <w:sz w:val="24"/>
          <w:szCs w:val="24"/>
          <w:highlight w:val="none"/>
        </w:rPr>
      </w:pPr>
      <w:bookmarkStart w:id="71" w:name="_Toc230599449"/>
      <w:bookmarkStart w:id="72" w:name="_Toc471222473"/>
      <w:bookmarkStart w:id="73" w:name="_Toc452632702"/>
      <w:r>
        <w:rPr>
          <w:rFonts w:hint="eastAsia" w:ascii="宋体" w:hAnsi="宋体" w:eastAsia="宋体" w:cs="宋体"/>
          <w:b/>
          <w:color w:val="auto"/>
          <w:sz w:val="24"/>
          <w:szCs w:val="24"/>
          <w:highlight w:val="none"/>
        </w:rPr>
        <w:t>10. 需要补充的其他内容</w:t>
      </w:r>
      <w:bookmarkEnd w:id="71"/>
      <w:bookmarkEnd w:id="72"/>
      <w:bookmarkEnd w:id="73"/>
    </w:p>
    <w:p w14:paraId="2C6E193C">
      <w:pPr>
        <w:autoSpaceDE w:val="0"/>
        <w:autoSpaceDN w:val="0"/>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需要补充的其他内容：见</w:t>
      </w:r>
      <w:r>
        <w:rPr>
          <w:rFonts w:hint="eastAsia" w:ascii="宋体" w:hAnsi="宋体" w:eastAsia="宋体" w:cs="宋体"/>
          <w:color w:val="auto"/>
          <w:kern w:val="0"/>
          <w:sz w:val="24"/>
          <w:szCs w:val="24"/>
          <w:highlight w:val="none"/>
          <w:lang w:eastAsia="zh-CN"/>
        </w:rPr>
        <w:t>投标人</w:t>
      </w:r>
      <w:r>
        <w:rPr>
          <w:rFonts w:hint="eastAsia" w:ascii="宋体" w:hAnsi="宋体" w:eastAsia="宋体" w:cs="宋体"/>
          <w:color w:val="auto"/>
          <w:kern w:val="0"/>
          <w:sz w:val="24"/>
          <w:szCs w:val="24"/>
          <w:highlight w:val="none"/>
        </w:rPr>
        <w:t>须知前附表</w:t>
      </w:r>
    </w:p>
    <w:p w14:paraId="039DF613">
      <w:pPr>
        <w:autoSpaceDE w:val="0"/>
        <w:autoSpaceDN w:val="0"/>
        <w:ind w:firstLine="420"/>
        <w:jc w:val="left"/>
        <w:rPr>
          <w:rFonts w:hint="eastAsia" w:ascii="宋体" w:hAnsi="宋体" w:eastAsia="宋体" w:cs="宋体"/>
          <w:color w:val="auto"/>
          <w:kern w:val="0"/>
          <w:sz w:val="24"/>
          <w:szCs w:val="24"/>
          <w:highlight w:val="none"/>
        </w:rPr>
      </w:pPr>
    </w:p>
    <w:p w14:paraId="1CA56A78">
      <w:pPr>
        <w:autoSpaceDE w:val="0"/>
        <w:autoSpaceDN w:val="0"/>
        <w:ind w:firstLine="420"/>
        <w:jc w:val="left"/>
        <w:rPr>
          <w:rFonts w:hint="eastAsia" w:ascii="宋体" w:hAnsi="宋体" w:eastAsia="宋体" w:cs="宋体"/>
          <w:color w:val="auto"/>
          <w:kern w:val="0"/>
          <w:sz w:val="24"/>
          <w:szCs w:val="24"/>
          <w:highlight w:val="none"/>
        </w:rPr>
      </w:pPr>
    </w:p>
    <w:p w14:paraId="5D119CD1">
      <w:pPr>
        <w:autoSpaceDE w:val="0"/>
        <w:autoSpaceDN w:val="0"/>
        <w:ind w:firstLine="420"/>
        <w:jc w:val="left"/>
        <w:rPr>
          <w:rFonts w:hint="eastAsia" w:ascii="宋体" w:hAnsi="宋体" w:eastAsia="宋体" w:cs="宋体"/>
          <w:color w:val="auto"/>
          <w:kern w:val="0"/>
          <w:sz w:val="24"/>
          <w:szCs w:val="24"/>
          <w:highlight w:val="none"/>
        </w:rPr>
      </w:pPr>
    </w:p>
    <w:p w14:paraId="77EFE6EE">
      <w:pPr>
        <w:autoSpaceDE w:val="0"/>
        <w:autoSpaceDN w:val="0"/>
        <w:ind w:firstLine="420"/>
        <w:jc w:val="left"/>
        <w:rPr>
          <w:rFonts w:hint="eastAsia" w:ascii="宋体" w:hAnsi="宋体" w:eastAsia="宋体" w:cs="宋体"/>
          <w:color w:val="auto"/>
          <w:kern w:val="0"/>
          <w:sz w:val="24"/>
          <w:szCs w:val="24"/>
          <w:highlight w:val="none"/>
        </w:rPr>
      </w:pPr>
    </w:p>
    <w:p w14:paraId="7FB1468B">
      <w:pPr>
        <w:autoSpaceDE w:val="0"/>
        <w:autoSpaceDN w:val="0"/>
        <w:ind w:firstLine="420"/>
        <w:jc w:val="left"/>
        <w:rPr>
          <w:rFonts w:hint="eastAsia" w:ascii="宋体" w:hAnsi="宋体" w:eastAsia="宋体" w:cs="宋体"/>
          <w:color w:val="auto"/>
          <w:kern w:val="0"/>
          <w:sz w:val="24"/>
          <w:szCs w:val="24"/>
          <w:highlight w:val="none"/>
        </w:rPr>
      </w:pPr>
    </w:p>
    <w:p w14:paraId="65415E3A">
      <w:pPr>
        <w:autoSpaceDE w:val="0"/>
        <w:autoSpaceDN w:val="0"/>
        <w:ind w:firstLine="420"/>
        <w:jc w:val="left"/>
        <w:rPr>
          <w:rFonts w:hint="eastAsia" w:ascii="宋体" w:hAnsi="宋体" w:eastAsia="宋体" w:cs="宋体"/>
          <w:color w:val="auto"/>
          <w:kern w:val="0"/>
          <w:sz w:val="24"/>
          <w:szCs w:val="24"/>
          <w:highlight w:val="none"/>
        </w:rPr>
      </w:pPr>
    </w:p>
    <w:p w14:paraId="0F1A1C13">
      <w:pPr>
        <w:autoSpaceDE w:val="0"/>
        <w:autoSpaceDN w:val="0"/>
        <w:ind w:firstLine="420"/>
        <w:jc w:val="left"/>
        <w:rPr>
          <w:rFonts w:hint="eastAsia" w:ascii="宋体" w:hAnsi="宋体" w:eastAsia="宋体" w:cs="宋体"/>
          <w:color w:val="auto"/>
          <w:kern w:val="0"/>
          <w:sz w:val="24"/>
          <w:szCs w:val="24"/>
          <w:highlight w:val="none"/>
        </w:rPr>
      </w:pPr>
    </w:p>
    <w:p w14:paraId="31C3A48D">
      <w:pPr>
        <w:autoSpaceDE w:val="0"/>
        <w:autoSpaceDN w:val="0"/>
        <w:ind w:firstLine="420"/>
        <w:jc w:val="left"/>
        <w:rPr>
          <w:rFonts w:hint="eastAsia" w:ascii="宋体" w:hAnsi="宋体" w:eastAsia="宋体" w:cs="宋体"/>
          <w:color w:val="auto"/>
          <w:kern w:val="0"/>
          <w:sz w:val="24"/>
          <w:szCs w:val="24"/>
          <w:highlight w:val="none"/>
        </w:rPr>
      </w:pPr>
    </w:p>
    <w:p w14:paraId="610B6492">
      <w:pPr>
        <w:autoSpaceDE w:val="0"/>
        <w:autoSpaceDN w:val="0"/>
        <w:ind w:firstLine="420"/>
        <w:jc w:val="left"/>
        <w:rPr>
          <w:rFonts w:hint="eastAsia" w:ascii="宋体" w:hAnsi="宋体" w:eastAsia="宋体" w:cs="宋体"/>
          <w:color w:val="auto"/>
          <w:kern w:val="0"/>
          <w:sz w:val="24"/>
          <w:szCs w:val="24"/>
          <w:highlight w:val="none"/>
        </w:rPr>
      </w:pPr>
    </w:p>
    <w:p w14:paraId="1DDBB9DD">
      <w:pPr>
        <w:autoSpaceDE w:val="0"/>
        <w:autoSpaceDN w:val="0"/>
        <w:ind w:firstLine="420"/>
        <w:jc w:val="left"/>
        <w:rPr>
          <w:rFonts w:hint="eastAsia" w:ascii="宋体" w:hAnsi="宋体" w:eastAsia="宋体" w:cs="宋体"/>
          <w:color w:val="auto"/>
          <w:kern w:val="0"/>
          <w:sz w:val="24"/>
          <w:szCs w:val="24"/>
          <w:highlight w:val="none"/>
        </w:rPr>
      </w:pPr>
    </w:p>
    <w:p w14:paraId="76E5CF32">
      <w:pPr>
        <w:autoSpaceDE w:val="0"/>
        <w:autoSpaceDN w:val="0"/>
        <w:ind w:firstLine="420"/>
        <w:jc w:val="left"/>
        <w:rPr>
          <w:rFonts w:hint="eastAsia" w:ascii="宋体" w:hAnsi="宋体" w:eastAsia="宋体" w:cs="宋体"/>
          <w:color w:val="auto"/>
          <w:kern w:val="0"/>
          <w:sz w:val="24"/>
          <w:szCs w:val="24"/>
          <w:highlight w:val="none"/>
        </w:rPr>
      </w:pPr>
    </w:p>
    <w:p w14:paraId="7D1D80BD">
      <w:pPr>
        <w:autoSpaceDE w:val="0"/>
        <w:autoSpaceDN w:val="0"/>
        <w:ind w:firstLine="420"/>
        <w:jc w:val="left"/>
        <w:rPr>
          <w:rFonts w:hint="eastAsia" w:ascii="宋体" w:hAnsi="宋体" w:eastAsia="宋体" w:cs="宋体"/>
          <w:color w:val="auto"/>
          <w:kern w:val="0"/>
          <w:sz w:val="24"/>
          <w:szCs w:val="24"/>
          <w:highlight w:val="none"/>
        </w:rPr>
      </w:pPr>
    </w:p>
    <w:p w14:paraId="7C253C0B">
      <w:pPr>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政府采购促进中小企业发展管理办法</w:t>
      </w:r>
    </w:p>
    <w:p w14:paraId="58E66092">
      <w:pPr>
        <w:spacing w:beforeAutospacing="1" w:afterAutospacing="1" w:line="288"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财库〔2020〕46号</w:t>
      </w:r>
    </w:p>
    <w:p w14:paraId="797ED0BF">
      <w:pPr>
        <w:spacing w:beforeAutospacing="1" w:afterAutospacing="1" w:line="288" w:lineRule="auto"/>
        <w:rPr>
          <w:rFonts w:hint="eastAsia" w:ascii="宋体" w:hAnsi="宋体" w:eastAsia="宋体" w:cs="宋体"/>
          <w:color w:val="auto"/>
          <w:sz w:val="24"/>
          <w:szCs w:val="24"/>
          <w:highlight w:val="none"/>
        </w:rPr>
      </w:pPr>
      <w:r>
        <w:rPr>
          <w:rStyle w:val="18"/>
          <w:rFonts w:hint="eastAsia" w:ascii="宋体" w:hAnsi="宋体" w:eastAsia="宋体" w:cs="宋体"/>
          <w:bCs w:val="0"/>
          <w:color w:val="auto"/>
          <w:sz w:val="24"/>
          <w:szCs w:val="24"/>
          <w:highlight w:val="none"/>
          <w:lang w:bidi="ar"/>
        </w:rPr>
        <w:t>第一条</w:t>
      </w:r>
      <w:r>
        <w:rPr>
          <w:rFonts w:hint="eastAsia" w:ascii="宋体" w:hAnsi="宋体" w:eastAsia="宋体" w:cs="宋体"/>
          <w:color w:val="auto"/>
          <w:sz w:val="24"/>
          <w:szCs w:val="24"/>
          <w:highlight w:val="none"/>
          <w:lang w:bidi="ar"/>
        </w:rPr>
        <w:t xml:space="preserve">  为了发挥政府采购的政策功能，促进中小企业健康发展，根据《中华人民共和国政府采购法》、《中华人民共和国中小企业促进法》等有关法律法规，制定本办法。</w:t>
      </w:r>
    </w:p>
    <w:p w14:paraId="19FB80FF">
      <w:pPr>
        <w:spacing w:beforeAutospacing="1" w:afterAutospacing="1" w:line="288" w:lineRule="auto"/>
        <w:ind w:firstLine="482" w:firstLineChars="200"/>
        <w:rPr>
          <w:rFonts w:hint="eastAsia" w:ascii="宋体" w:hAnsi="宋体" w:eastAsia="宋体" w:cs="宋体"/>
          <w:color w:val="auto"/>
          <w:sz w:val="24"/>
          <w:szCs w:val="24"/>
          <w:highlight w:val="none"/>
        </w:rPr>
      </w:pPr>
      <w:r>
        <w:rPr>
          <w:rStyle w:val="18"/>
          <w:rFonts w:hint="eastAsia" w:ascii="宋体" w:hAnsi="宋体" w:eastAsia="宋体" w:cs="宋体"/>
          <w:bCs w:val="0"/>
          <w:color w:val="auto"/>
          <w:sz w:val="24"/>
          <w:szCs w:val="24"/>
          <w:highlight w:val="none"/>
          <w:lang w:bidi="ar"/>
        </w:rPr>
        <w:t>第二条</w:t>
      </w:r>
      <w:r>
        <w:rPr>
          <w:rFonts w:hint="eastAsia" w:ascii="宋体" w:hAnsi="宋体" w:eastAsia="宋体" w:cs="宋体"/>
          <w:color w:val="auto"/>
          <w:sz w:val="24"/>
          <w:szCs w:val="24"/>
          <w:highlight w:val="none"/>
          <w:lang w:bidi="ar"/>
        </w:rPr>
        <w:t xml:space="preserve">  本办法所称中小企业，是指在中华人民共和国境内依法设立，依据国务院批准的中小企业划分标准确定的中型企业、小型企业和微型企业，但与大企业的负责人为同一人，或者与大企业存在直接控股、管理关系的除外。</w:t>
      </w:r>
    </w:p>
    <w:p w14:paraId="2116DB90">
      <w:pPr>
        <w:spacing w:beforeAutospacing="1" w:afterAutospacing="1" w:line="288"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符合中小企业划分标准的个体工商户，在政府采购活动中视同中小企业。</w:t>
      </w:r>
    </w:p>
    <w:p w14:paraId="2481A7B2">
      <w:pPr>
        <w:spacing w:beforeAutospacing="1" w:afterAutospacing="1" w:line="288" w:lineRule="auto"/>
        <w:rPr>
          <w:rFonts w:hint="eastAsia" w:ascii="宋体" w:hAnsi="宋体" w:eastAsia="宋体" w:cs="宋体"/>
          <w:color w:val="auto"/>
          <w:sz w:val="24"/>
          <w:szCs w:val="24"/>
          <w:highlight w:val="none"/>
        </w:rPr>
      </w:pPr>
      <w:r>
        <w:rPr>
          <w:rStyle w:val="18"/>
          <w:rFonts w:hint="eastAsia" w:ascii="宋体" w:hAnsi="宋体" w:eastAsia="宋体" w:cs="宋体"/>
          <w:bCs w:val="0"/>
          <w:color w:val="auto"/>
          <w:sz w:val="24"/>
          <w:szCs w:val="24"/>
          <w:highlight w:val="none"/>
          <w:lang w:bidi="ar"/>
        </w:rPr>
        <w:t>第三条</w:t>
      </w:r>
      <w:r>
        <w:rPr>
          <w:rFonts w:hint="eastAsia" w:ascii="宋体" w:hAnsi="宋体" w:eastAsia="宋体" w:cs="宋体"/>
          <w:color w:val="auto"/>
          <w:sz w:val="24"/>
          <w:szCs w:val="24"/>
          <w:highlight w:val="none"/>
          <w:lang w:bidi="ar"/>
        </w:rPr>
        <w:t xml:space="preserve">  采购人在政府采购活动中应当通过加强采购需求管理，落实预留采购份额、价格评审优惠、优先采购等措施，提高中小企业在政府采购中的份额，支持中小企业发展。</w:t>
      </w:r>
    </w:p>
    <w:p w14:paraId="3C71E2B5">
      <w:pPr>
        <w:spacing w:beforeAutospacing="1" w:afterAutospacing="1" w:line="288" w:lineRule="auto"/>
        <w:ind w:firstLine="482" w:firstLineChars="200"/>
        <w:rPr>
          <w:rFonts w:hint="eastAsia" w:ascii="宋体" w:hAnsi="宋体" w:eastAsia="宋体" w:cs="宋体"/>
          <w:color w:val="auto"/>
          <w:sz w:val="24"/>
          <w:szCs w:val="24"/>
          <w:highlight w:val="none"/>
        </w:rPr>
      </w:pPr>
      <w:r>
        <w:rPr>
          <w:rStyle w:val="18"/>
          <w:rFonts w:hint="eastAsia" w:ascii="宋体" w:hAnsi="宋体" w:eastAsia="宋体" w:cs="宋体"/>
          <w:bCs w:val="0"/>
          <w:color w:val="auto"/>
          <w:sz w:val="24"/>
          <w:szCs w:val="24"/>
          <w:highlight w:val="none"/>
          <w:lang w:bidi="ar"/>
        </w:rPr>
        <w:t>第四条</w:t>
      </w:r>
      <w:r>
        <w:rPr>
          <w:rFonts w:hint="eastAsia" w:ascii="宋体" w:hAnsi="宋体" w:eastAsia="宋体" w:cs="宋体"/>
          <w:color w:val="auto"/>
          <w:sz w:val="24"/>
          <w:szCs w:val="24"/>
          <w:highlight w:val="none"/>
          <w:lang w:bidi="ar"/>
        </w:rPr>
        <w:t xml:space="preserve">  在政府采购活动中，</w:t>
      </w:r>
      <w:r>
        <w:rPr>
          <w:rFonts w:hint="eastAsia" w:ascii="宋体" w:hAnsi="宋体" w:eastAsia="宋体" w:cs="宋体"/>
          <w:color w:val="auto"/>
          <w:sz w:val="24"/>
          <w:szCs w:val="24"/>
          <w:highlight w:val="none"/>
          <w:lang w:eastAsia="zh-CN" w:bidi="ar"/>
        </w:rPr>
        <w:t>投标人</w:t>
      </w:r>
      <w:r>
        <w:rPr>
          <w:rFonts w:hint="eastAsia" w:ascii="宋体" w:hAnsi="宋体" w:eastAsia="宋体" w:cs="宋体"/>
          <w:color w:val="auto"/>
          <w:sz w:val="24"/>
          <w:szCs w:val="24"/>
          <w:highlight w:val="none"/>
          <w:lang w:bidi="ar"/>
        </w:rPr>
        <w:t>提供的货物、工程或者服务符合下列情形的，享受本办法规定的中小企业扶持政策：</w:t>
      </w:r>
    </w:p>
    <w:p w14:paraId="66D5C948">
      <w:pPr>
        <w:spacing w:beforeAutospacing="1" w:afterAutospacing="1" w:line="288"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（一）在货物采购项目中，货物由中小企业制造，即货物由中小企业生产且使用该中小企业商号或者注册商标；</w:t>
      </w:r>
    </w:p>
    <w:p w14:paraId="2A27539C">
      <w:pPr>
        <w:spacing w:beforeAutospacing="1" w:afterAutospacing="1" w:line="288"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（二）在工程采购项目中，工程由中小企业承建，即工程施工单位为中小企业；</w:t>
      </w:r>
    </w:p>
    <w:p w14:paraId="077E1213">
      <w:pPr>
        <w:spacing w:beforeAutospacing="1" w:afterAutospacing="1" w:line="288"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（三）在服务采购项目中，服务由中小企业承接，即提供服务的人员为中小企业依照《中华人民共和国劳动合同法》订立劳动合同的从业人员。</w:t>
      </w:r>
    </w:p>
    <w:p w14:paraId="410C597F">
      <w:pPr>
        <w:spacing w:beforeAutospacing="1" w:afterAutospacing="1" w:line="288"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在货物采购项目中，</w:t>
      </w:r>
      <w:r>
        <w:rPr>
          <w:rFonts w:hint="eastAsia" w:ascii="宋体" w:hAnsi="宋体" w:eastAsia="宋体" w:cs="宋体"/>
          <w:color w:val="auto"/>
          <w:sz w:val="24"/>
          <w:szCs w:val="24"/>
          <w:highlight w:val="none"/>
          <w:lang w:eastAsia="zh-CN" w:bidi="ar"/>
        </w:rPr>
        <w:t>投标人</w:t>
      </w:r>
      <w:r>
        <w:rPr>
          <w:rFonts w:hint="eastAsia" w:ascii="宋体" w:hAnsi="宋体" w:eastAsia="宋体" w:cs="宋体"/>
          <w:color w:val="auto"/>
          <w:sz w:val="24"/>
          <w:szCs w:val="24"/>
          <w:highlight w:val="none"/>
          <w:lang w:bidi="ar"/>
        </w:rPr>
        <w:t>提供的货物既有中小企业制造货物，也有大型企业制造货物的，不享受本办法规定的中小企业扶持政策。</w:t>
      </w:r>
    </w:p>
    <w:p w14:paraId="7807D3FB">
      <w:pPr>
        <w:spacing w:beforeAutospacing="1" w:afterAutospacing="1" w:line="288"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以联合体形式参加政府采购活动，联合体各方均为中小企业的，联合体视同中小企业。其中，联合体各方均为小微企业的，联合体视同小微企业。</w:t>
      </w:r>
    </w:p>
    <w:p w14:paraId="45C729EF">
      <w:pPr>
        <w:spacing w:beforeAutospacing="1" w:afterAutospacing="1" w:line="288" w:lineRule="auto"/>
        <w:ind w:firstLine="482" w:firstLineChars="200"/>
        <w:rPr>
          <w:rFonts w:hint="eastAsia" w:ascii="宋体" w:hAnsi="宋体" w:eastAsia="宋体" w:cs="宋体"/>
          <w:color w:val="auto"/>
          <w:sz w:val="24"/>
          <w:szCs w:val="24"/>
          <w:highlight w:val="none"/>
        </w:rPr>
      </w:pPr>
      <w:r>
        <w:rPr>
          <w:rStyle w:val="18"/>
          <w:rFonts w:hint="eastAsia" w:ascii="宋体" w:hAnsi="宋体" w:eastAsia="宋体" w:cs="宋体"/>
          <w:bCs w:val="0"/>
          <w:color w:val="auto"/>
          <w:sz w:val="24"/>
          <w:szCs w:val="24"/>
          <w:highlight w:val="none"/>
          <w:lang w:bidi="ar"/>
        </w:rPr>
        <w:t>第五条</w:t>
      </w:r>
      <w:r>
        <w:rPr>
          <w:rFonts w:hint="eastAsia" w:ascii="宋体" w:hAnsi="宋体" w:eastAsia="宋体" w:cs="宋体"/>
          <w:color w:val="auto"/>
          <w:sz w:val="24"/>
          <w:szCs w:val="24"/>
          <w:highlight w:val="none"/>
          <w:lang w:bidi="ar"/>
        </w:rPr>
        <w:t xml:space="preserve">  采购人在政府采购活动中应当合理确定采购项目的采购需求，不得以企业注册资本、资产总额、营业收入、从业人员、利润、纳税额等规模条件和财务指标作为</w:t>
      </w:r>
      <w:r>
        <w:rPr>
          <w:rFonts w:hint="eastAsia" w:ascii="宋体" w:hAnsi="宋体" w:eastAsia="宋体" w:cs="宋体"/>
          <w:color w:val="auto"/>
          <w:sz w:val="24"/>
          <w:szCs w:val="24"/>
          <w:highlight w:val="none"/>
          <w:lang w:eastAsia="zh-CN" w:bidi="ar"/>
        </w:rPr>
        <w:t>投标人</w:t>
      </w:r>
      <w:r>
        <w:rPr>
          <w:rFonts w:hint="eastAsia" w:ascii="宋体" w:hAnsi="宋体" w:eastAsia="宋体" w:cs="宋体"/>
          <w:color w:val="auto"/>
          <w:sz w:val="24"/>
          <w:szCs w:val="24"/>
          <w:highlight w:val="none"/>
          <w:lang w:bidi="ar"/>
        </w:rPr>
        <w:t>的资格要求或者评审因素，不得在企业股权结构、经营年限等方面对中小企业实行差别待遇或者歧视待遇。</w:t>
      </w:r>
    </w:p>
    <w:p w14:paraId="4EEBA66D">
      <w:pPr>
        <w:spacing w:beforeAutospacing="1" w:afterAutospacing="1" w:line="288" w:lineRule="auto"/>
        <w:ind w:firstLine="482" w:firstLineChars="200"/>
        <w:rPr>
          <w:rFonts w:hint="eastAsia" w:ascii="宋体" w:hAnsi="宋体" w:eastAsia="宋体" w:cs="宋体"/>
          <w:color w:val="auto"/>
          <w:sz w:val="24"/>
          <w:szCs w:val="24"/>
          <w:highlight w:val="none"/>
        </w:rPr>
      </w:pPr>
      <w:r>
        <w:rPr>
          <w:rStyle w:val="18"/>
          <w:rFonts w:hint="eastAsia" w:ascii="宋体" w:hAnsi="宋体" w:eastAsia="宋体" w:cs="宋体"/>
          <w:bCs w:val="0"/>
          <w:color w:val="auto"/>
          <w:sz w:val="24"/>
          <w:szCs w:val="24"/>
          <w:highlight w:val="none"/>
          <w:lang w:bidi="ar"/>
        </w:rPr>
        <w:t>第六条</w:t>
      </w:r>
      <w:r>
        <w:rPr>
          <w:rFonts w:hint="eastAsia" w:ascii="宋体" w:hAnsi="宋体" w:eastAsia="宋体" w:cs="宋体"/>
          <w:color w:val="auto"/>
          <w:sz w:val="24"/>
          <w:szCs w:val="24"/>
          <w:highlight w:val="none"/>
          <w:lang w:bidi="ar"/>
        </w:rPr>
        <w:t xml:space="preserve">  主管预算单位应当组织评估本部门及所属单位政府采购项目，统筹制定面向中小企业预留采购份额的具体方案，对适宜由中小企业提供的采购项目和采购包，预留采购份额专门面向中小企业采购，并在政府采购预算中单独列示。</w:t>
      </w:r>
    </w:p>
    <w:p w14:paraId="0D0C3CAD">
      <w:pPr>
        <w:spacing w:beforeAutospacing="1" w:afterAutospacing="1" w:line="288"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符合下列情形之一的，可不专门面向中小企业预留采购份额：</w:t>
      </w:r>
    </w:p>
    <w:p w14:paraId="7D3FC90A">
      <w:pPr>
        <w:spacing w:beforeAutospacing="1" w:afterAutospacing="1" w:line="288"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（一）法律法规和国家有关政策明确规定优先或者应当面向事业单位、社会组织等非企业主体采购的；</w:t>
      </w:r>
    </w:p>
    <w:p w14:paraId="337F03C3">
      <w:pPr>
        <w:spacing w:beforeAutospacing="1" w:afterAutospacing="1" w:line="288"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（二）因确需使用不可替代的专利、专有技术，基础设施限制，或者提供特定公共服务等原因，只能从中小企业之外的</w:t>
      </w:r>
      <w:r>
        <w:rPr>
          <w:rFonts w:hint="eastAsia" w:ascii="宋体" w:hAnsi="宋体" w:eastAsia="宋体" w:cs="宋体"/>
          <w:color w:val="auto"/>
          <w:sz w:val="24"/>
          <w:szCs w:val="24"/>
          <w:highlight w:val="none"/>
          <w:lang w:eastAsia="zh-CN" w:bidi="ar"/>
        </w:rPr>
        <w:t>投标人</w:t>
      </w:r>
      <w:r>
        <w:rPr>
          <w:rFonts w:hint="eastAsia" w:ascii="宋体" w:hAnsi="宋体" w:eastAsia="宋体" w:cs="宋体"/>
          <w:color w:val="auto"/>
          <w:sz w:val="24"/>
          <w:szCs w:val="24"/>
          <w:highlight w:val="none"/>
          <w:lang w:bidi="ar"/>
        </w:rPr>
        <w:t>处采购的；</w:t>
      </w:r>
    </w:p>
    <w:p w14:paraId="690D3586">
      <w:pPr>
        <w:spacing w:beforeAutospacing="1" w:afterAutospacing="1" w:line="288"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（三）按照本办法规定预留采购份额无法确保充分供应、充分竞争，或者存在可能影响政府采购目标实现的情形；</w:t>
      </w:r>
    </w:p>
    <w:p w14:paraId="21993BE3">
      <w:pPr>
        <w:spacing w:beforeAutospacing="1" w:afterAutospacing="1" w:line="288"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（四）框架协议采购项目；</w:t>
      </w:r>
    </w:p>
    <w:p w14:paraId="1705A72C">
      <w:pPr>
        <w:spacing w:beforeAutospacing="1" w:afterAutospacing="1" w:line="288"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（五）省级以上人民政府财政部门规定的其他情形。</w:t>
      </w:r>
    </w:p>
    <w:p w14:paraId="19AE6571">
      <w:pPr>
        <w:spacing w:beforeAutospacing="1" w:afterAutospacing="1" w:line="288"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除上述情形外，其他均为适宜由中小企业提供的情形。</w:t>
      </w:r>
    </w:p>
    <w:p w14:paraId="6C501183">
      <w:pPr>
        <w:spacing w:beforeAutospacing="1" w:afterAutospacing="1" w:line="288" w:lineRule="auto"/>
        <w:ind w:firstLine="482" w:firstLineChars="200"/>
        <w:rPr>
          <w:rFonts w:hint="eastAsia" w:ascii="宋体" w:hAnsi="宋体" w:eastAsia="宋体" w:cs="宋体"/>
          <w:color w:val="auto"/>
          <w:sz w:val="24"/>
          <w:szCs w:val="24"/>
          <w:highlight w:val="none"/>
        </w:rPr>
      </w:pPr>
      <w:r>
        <w:rPr>
          <w:rStyle w:val="18"/>
          <w:rFonts w:hint="eastAsia" w:ascii="宋体" w:hAnsi="宋体" w:eastAsia="宋体" w:cs="宋体"/>
          <w:bCs w:val="0"/>
          <w:color w:val="auto"/>
          <w:sz w:val="24"/>
          <w:szCs w:val="24"/>
          <w:highlight w:val="none"/>
          <w:lang w:bidi="ar"/>
        </w:rPr>
        <w:t>第七条</w:t>
      </w:r>
      <w:r>
        <w:rPr>
          <w:rFonts w:hint="eastAsia" w:ascii="宋体" w:hAnsi="宋体" w:eastAsia="宋体" w:cs="宋体"/>
          <w:color w:val="auto"/>
          <w:sz w:val="24"/>
          <w:szCs w:val="24"/>
          <w:highlight w:val="none"/>
          <w:lang w:bidi="ar"/>
        </w:rPr>
        <w:t xml:space="preserve">  采购限额标准以上，200 万元以下的货物和服务采购项目、400 万元以下的工程采购项目，适宜由中小企业提供的，采购人应当专门面向中小企业采购。</w:t>
      </w:r>
    </w:p>
    <w:p w14:paraId="17E30278">
      <w:pPr>
        <w:spacing w:beforeAutospacing="1" w:afterAutospacing="1" w:line="288" w:lineRule="auto"/>
        <w:ind w:firstLine="482" w:firstLineChars="200"/>
        <w:rPr>
          <w:rFonts w:hint="eastAsia" w:ascii="宋体" w:hAnsi="宋体" w:eastAsia="宋体" w:cs="宋体"/>
          <w:color w:val="auto"/>
          <w:sz w:val="24"/>
          <w:szCs w:val="24"/>
          <w:highlight w:val="none"/>
        </w:rPr>
      </w:pPr>
      <w:r>
        <w:rPr>
          <w:rStyle w:val="18"/>
          <w:rFonts w:hint="eastAsia" w:ascii="宋体" w:hAnsi="宋体" w:eastAsia="宋体" w:cs="宋体"/>
          <w:bCs w:val="0"/>
          <w:color w:val="auto"/>
          <w:sz w:val="24"/>
          <w:szCs w:val="24"/>
          <w:highlight w:val="none"/>
          <w:lang w:bidi="ar"/>
        </w:rPr>
        <w:t>第八条</w:t>
      </w:r>
      <w:r>
        <w:rPr>
          <w:rFonts w:hint="eastAsia" w:ascii="宋体" w:hAnsi="宋体" w:eastAsia="宋体" w:cs="宋体"/>
          <w:color w:val="auto"/>
          <w:sz w:val="24"/>
          <w:szCs w:val="24"/>
          <w:highlight w:val="none"/>
          <w:lang w:bidi="ar"/>
        </w:rPr>
        <w:t xml:space="preserve">  超过 200 万元的货物和服务采购项目、超过400 万元的工程采购项目中适宜由中小企业提供的，预留该部分采购项目预算总额的 30%以上专门面向中小企业采购，其中预留给小微企业的比例不低于 60%。预留份额通过下列措施进行：</w:t>
      </w:r>
    </w:p>
    <w:p w14:paraId="443F4DE3">
      <w:pPr>
        <w:spacing w:beforeAutospacing="1" w:afterAutospacing="1" w:line="288"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（一）将采购项目整体或者设置采购包专门面向中小企业采购；</w:t>
      </w:r>
    </w:p>
    <w:p w14:paraId="7E76FF0C">
      <w:pPr>
        <w:spacing w:beforeAutospacing="1" w:afterAutospacing="1" w:line="288"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（二）要求</w:t>
      </w:r>
      <w:r>
        <w:rPr>
          <w:rFonts w:hint="eastAsia" w:ascii="宋体" w:hAnsi="宋体" w:eastAsia="宋体" w:cs="宋体"/>
          <w:color w:val="auto"/>
          <w:sz w:val="24"/>
          <w:szCs w:val="24"/>
          <w:highlight w:val="none"/>
          <w:lang w:eastAsia="zh-CN" w:bidi="ar"/>
        </w:rPr>
        <w:t>投标人</w:t>
      </w:r>
      <w:r>
        <w:rPr>
          <w:rFonts w:hint="eastAsia" w:ascii="宋体" w:hAnsi="宋体" w:eastAsia="宋体" w:cs="宋体"/>
          <w:color w:val="auto"/>
          <w:sz w:val="24"/>
          <w:szCs w:val="24"/>
          <w:highlight w:val="none"/>
          <w:lang w:bidi="ar"/>
        </w:rPr>
        <w:t>以联合体形式参加采购活动，且联合体中中小企业承担的部分达到一定比例；</w:t>
      </w:r>
    </w:p>
    <w:p w14:paraId="68BA3EB8">
      <w:pPr>
        <w:spacing w:beforeAutospacing="1" w:afterAutospacing="1" w:line="288"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（三）要求获得采购合同的</w:t>
      </w:r>
      <w:r>
        <w:rPr>
          <w:rFonts w:hint="eastAsia" w:ascii="宋体" w:hAnsi="宋体" w:eastAsia="宋体" w:cs="宋体"/>
          <w:color w:val="auto"/>
          <w:sz w:val="24"/>
          <w:szCs w:val="24"/>
          <w:highlight w:val="none"/>
          <w:lang w:eastAsia="zh-CN" w:bidi="ar"/>
        </w:rPr>
        <w:t>投标人</w:t>
      </w:r>
      <w:r>
        <w:rPr>
          <w:rFonts w:hint="eastAsia" w:ascii="宋体" w:hAnsi="宋体" w:eastAsia="宋体" w:cs="宋体"/>
          <w:color w:val="auto"/>
          <w:sz w:val="24"/>
          <w:szCs w:val="24"/>
          <w:highlight w:val="none"/>
          <w:lang w:bidi="ar"/>
        </w:rPr>
        <w:t>将采购项目中的一定比例分包给一家或者多家中小企业。</w:t>
      </w:r>
    </w:p>
    <w:p w14:paraId="3CB9A5EC">
      <w:pPr>
        <w:spacing w:beforeAutospacing="1" w:afterAutospacing="1" w:line="288"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组成联合体或者接受分包合同的中小企业与联合体内其他企业、分包企业之间不得存在直接控股、管理关系。</w:t>
      </w:r>
    </w:p>
    <w:p w14:paraId="12C64EBB">
      <w:pPr>
        <w:spacing w:beforeAutospacing="1" w:afterAutospacing="1" w:line="288" w:lineRule="auto"/>
        <w:ind w:firstLine="482" w:firstLineChars="200"/>
        <w:rPr>
          <w:rFonts w:hint="eastAsia" w:ascii="宋体" w:hAnsi="宋体" w:eastAsia="宋体" w:cs="宋体"/>
          <w:color w:val="auto"/>
          <w:sz w:val="24"/>
          <w:szCs w:val="24"/>
          <w:highlight w:val="none"/>
        </w:rPr>
      </w:pPr>
      <w:r>
        <w:rPr>
          <w:rStyle w:val="18"/>
          <w:rFonts w:hint="eastAsia" w:ascii="宋体" w:hAnsi="宋体" w:eastAsia="宋体" w:cs="宋体"/>
          <w:bCs w:val="0"/>
          <w:color w:val="auto"/>
          <w:sz w:val="24"/>
          <w:szCs w:val="24"/>
          <w:highlight w:val="none"/>
          <w:lang w:bidi="ar"/>
        </w:rPr>
        <w:t>第九条</w:t>
      </w:r>
      <w:r>
        <w:rPr>
          <w:rFonts w:hint="eastAsia" w:ascii="宋体" w:hAnsi="宋体" w:eastAsia="宋体" w:cs="宋体"/>
          <w:color w:val="auto"/>
          <w:sz w:val="24"/>
          <w:szCs w:val="24"/>
          <w:highlight w:val="none"/>
          <w:lang w:bidi="ar"/>
        </w:rPr>
        <w:t xml:space="preserve">  对于经主管预算单位统筹后未预留份额专门面向中小企业采购的采购项目，以及预留份额项目中的非预留部分采购包，采购人、采购代理机构应当对符合本办法规定的小微企业报价给予 6%—10%（工程项目为 3%—5%）的扣除，用扣除后的价格参加评审。适用招标投标法的政府采购工程建设项目，采用综合评估法但未采用低价优先法计算价格分的，评标时应当在采用原报价进行评分的基础上增加其价格得分的 3%—5%作为其价格分。</w:t>
      </w:r>
    </w:p>
    <w:p w14:paraId="018BE903">
      <w:pPr>
        <w:spacing w:beforeAutospacing="1" w:afterAutospacing="1" w:line="288"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接受大中型企业与小微企业组成联合体或者允许大中型企业向一家或者多家小微企业分包的采购项目，对于联合协议或者分包意向协议约定小微企业的合同份额占到合同总金额 30%以上的，采购人、采购代理机构应当对联合体或者大中型企业的报价给予 2%-3%（工程项目为 1%—2%）的扣除，用扣除后的价格参加评审。适用招标投标法的政府采购工程建设项目，采用综合评估法但未采用低价优先法计算价格分的，评标时应当在采用原报价进行评分的基础上增加其价格得分的 1%—2%作为其价格分。组成联合体或者接受分包的小微企业与联合体内其他企业、分包企业之间存在直接控股、管理关系的，不享受价格扣除优惠政策。</w:t>
      </w:r>
    </w:p>
    <w:p w14:paraId="0BAB6776">
      <w:pPr>
        <w:spacing w:beforeAutospacing="1" w:afterAutospacing="1" w:line="288"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价格扣除比例或者价格分加分比例对小型企业和微型企业同等对待，不作区分。具体采购项目的价格扣除比例或者价格分加分比例，由采购人根据采购标的相关行业平均利润率、市场竞争状况等，在本办法规定的幅度内确定。</w:t>
      </w:r>
    </w:p>
    <w:p w14:paraId="36509B13">
      <w:pPr>
        <w:spacing w:beforeAutospacing="1" w:afterAutospacing="1" w:line="288" w:lineRule="auto"/>
        <w:ind w:firstLine="482" w:firstLineChars="200"/>
        <w:rPr>
          <w:rFonts w:hint="eastAsia" w:ascii="宋体" w:hAnsi="宋体" w:eastAsia="宋体" w:cs="宋体"/>
          <w:color w:val="auto"/>
          <w:sz w:val="24"/>
          <w:szCs w:val="24"/>
          <w:highlight w:val="none"/>
        </w:rPr>
      </w:pPr>
      <w:r>
        <w:rPr>
          <w:rStyle w:val="18"/>
          <w:rFonts w:hint="eastAsia" w:ascii="宋体" w:hAnsi="宋体" w:eastAsia="宋体" w:cs="宋体"/>
          <w:bCs w:val="0"/>
          <w:color w:val="auto"/>
          <w:sz w:val="24"/>
          <w:szCs w:val="24"/>
          <w:highlight w:val="none"/>
          <w:lang w:bidi="ar"/>
        </w:rPr>
        <w:t>第十条</w:t>
      </w:r>
      <w:r>
        <w:rPr>
          <w:rFonts w:hint="eastAsia" w:ascii="宋体" w:hAnsi="宋体" w:eastAsia="宋体" w:cs="宋体"/>
          <w:color w:val="auto"/>
          <w:sz w:val="24"/>
          <w:szCs w:val="24"/>
          <w:highlight w:val="none"/>
          <w:lang w:bidi="ar"/>
        </w:rPr>
        <w:t xml:space="preserve">  采购人应当严格按照本办法规定和主管预算单位制定的预留采购份额具体方案开展采购活动。预留份额的采购项目或者采购包，通过发布公告方式邀请</w:t>
      </w:r>
      <w:r>
        <w:rPr>
          <w:rFonts w:hint="eastAsia" w:ascii="宋体" w:hAnsi="宋体" w:eastAsia="宋体" w:cs="宋体"/>
          <w:color w:val="auto"/>
          <w:sz w:val="24"/>
          <w:szCs w:val="24"/>
          <w:highlight w:val="none"/>
          <w:lang w:eastAsia="zh-CN" w:bidi="ar"/>
        </w:rPr>
        <w:t>投标人</w:t>
      </w:r>
      <w:r>
        <w:rPr>
          <w:rFonts w:hint="eastAsia" w:ascii="宋体" w:hAnsi="宋体" w:eastAsia="宋体" w:cs="宋体"/>
          <w:color w:val="auto"/>
          <w:sz w:val="24"/>
          <w:szCs w:val="24"/>
          <w:highlight w:val="none"/>
          <w:lang w:bidi="ar"/>
        </w:rPr>
        <w:t>后，符合资格条件的中小企业数量不足 3 家的，应当中止采购活动，视同未预留份额的采购项目或者采购包，按照本办法第九条有关规定重新组织采购活动。</w:t>
      </w:r>
    </w:p>
    <w:p w14:paraId="48F6EF97">
      <w:pPr>
        <w:spacing w:beforeAutospacing="1" w:afterAutospacing="1" w:line="288" w:lineRule="auto"/>
        <w:ind w:firstLine="482" w:firstLineChars="200"/>
        <w:rPr>
          <w:rFonts w:hint="eastAsia" w:ascii="宋体" w:hAnsi="宋体" w:eastAsia="宋体" w:cs="宋体"/>
          <w:color w:val="auto"/>
          <w:sz w:val="24"/>
          <w:szCs w:val="24"/>
          <w:highlight w:val="none"/>
        </w:rPr>
      </w:pPr>
      <w:r>
        <w:rPr>
          <w:rStyle w:val="18"/>
          <w:rFonts w:hint="eastAsia" w:ascii="宋体" w:hAnsi="宋体" w:eastAsia="宋体" w:cs="宋体"/>
          <w:bCs w:val="0"/>
          <w:color w:val="auto"/>
          <w:sz w:val="24"/>
          <w:szCs w:val="24"/>
          <w:highlight w:val="none"/>
          <w:lang w:bidi="ar"/>
        </w:rPr>
        <w:t>第十一条</w:t>
      </w:r>
      <w:r>
        <w:rPr>
          <w:rFonts w:hint="eastAsia" w:ascii="宋体" w:hAnsi="宋体" w:eastAsia="宋体" w:cs="宋体"/>
          <w:color w:val="auto"/>
          <w:sz w:val="24"/>
          <w:szCs w:val="24"/>
          <w:highlight w:val="none"/>
          <w:lang w:bidi="ar"/>
        </w:rPr>
        <w:t xml:space="preserve">  中小企业参加政府采购活动，应当出具本办法规定的《中小企业声明函》（附 1），否则不得享受相关中小企业扶持政策。任何单位和个人不得要求</w:t>
      </w:r>
      <w:r>
        <w:rPr>
          <w:rFonts w:hint="eastAsia" w:ascii="宋体" w:hAnsi="宋体" w:eastAsia="宋体" w:cs="宋体"/>
          <w:color w:val="auto"/>
          <w:sz w:val="24"/>
          <w:szCs w:val="24"/>
          <w:highlight w:val="none"/>
          <w:lang w:eastAsia="zh-CN" w:bidi="ar"/>
        </w:rPr>
        <w:t>投标人</w:t>
      </w:r>
      <w:r>
        <w:rPr>
          <w:rFonts w:hint="eastAsia" w:ascii="宋体" w:hAnsi="宋体" w:eastAsia="宋体" w:cs="宋体"/>
          <w:color w:val="auto"/>
          <w:sz w:val="24"/>
          <w:szCs w:val="24"/>
          <w:highlight w:val="none"/>
          <w:lang w:bidi="ar"/>
        </w:rPr>
        <w:t>提供《中小企业声明函》之外的中小企业身份证明文件。</w:t>
      </w:r>
    </w:p>
    <w:p w14:paraId="3E79373A">
      <w:pPr>
        <w:spacing w:beforeAutospacing="1" w:afterAutospacing="1" w:line="288" w:lineRule="auto"/>
        <w:ind w:firstLine="482" w:firstLineChars="200"/>
        <w:rPr>
          <w:rFonts w:hint="eastAsia" w:ascii="宋体" w:hAnsi="宋体" w:eastAsia="宋体" w:cs="宋体"/>
          <w:color w:val="auto"/>
          <w:sz w:val="24"/>
          <w:szCs w:val="24"/>
          <w:highlight w:val="none"/>
        </w:rPr>
      </w:pPr>
      <w:r>
        <w:rPr>
          <w:rStyle w:val="18"/>
          <w:rFonts w:hint="eastAsia" w:ascii="宋体" w:hAnsi="宋体" w:eastAsia="宋体" w:cs="宋体"/>
          <w:bCs w:val="0"/>
          <w:color w:val="auto"/>
          <w:sz w:val="24"/>
          <w:szCs w:val="24"/>
          <w:highlight w:val="none"/>
          <w:lang w:bidi="ar"/>
        </w:rPr>
        <w:t>第十二条</w:t>
      </w:r>
      <w:r>
        <w:rPr>
          <w:rFonts w:hint="eastAsia" w:ascii="宋体" w:hAnsi="宋体" w:eastAsia="宋体" w:cs="宋体"/>
          <w:color w:val="auto"/>
          <w:sz w:val="24"/>
          <w:szCs w:val="24"/>
          <w:highlight w:val="none"/>
          <w:lang w:bidi="ar"/>
        </w:rPr>
        <w:t xml:space="preserve">  采购项目涉及中小企业采购的，采购文件应当明确以下内容：</w:t>
      </w:r>
    </w:p>
    <w:p w14:paraId="6A319176">
      <w:pPr>
        <w:spacing w:beforeAutospacing="1" w:afterAutospacing="1" w:line="288"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（一）预留份额的采购项目或者采购包，明确该项目或相关采购包专门面向中小企业采购，以及相关标的及预算金额；</w:t>
      </w:r>
    </w:p>
    <w:p w14:paraId="76F9B09C">
      <w:pPr>
        <w:spacing w:beforeAutospacing="1" w:afterAutospacing="1" w:line="288"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（二）要求以联合体形式参加或者合同分包的，明确联合协议或者分包意向协议中中小企业合同金额应当达到的比例，并作为</w:t>
      </w:r>
      <w:r>
        <w:rPr>
          <w:rFonts w:hint="eastAsia" w:ascii="宋体" w:hAnsi="宋体" w:eastAsia="宋体" w:cs="宋体"/>
          <w:color w:val="auto"/>
          <w:sz w:val="24"/>
          <w:szCs w:val="24"/>
          <w:highlight w:val="none"/>
          <w:lang w:eastAsia="zh-CN" w:bidi="ar"/>
        </w:rPr>
        <w:t>投标人</w:t>
      </w:r>
      <w:r>
        <w:rPr>
          <w:rFonts w:hint="eastAsia" w:ascii="宋体" w:hAnsi="宋体" w:eastAsia="宋体" w:cs="宋体"/>
          <w:color w:val="auto"/>
          <w:sz w:val="24"/>
          <w:szCs w:val="24"/>
          <w:highlight w:val="none"/>
          <w:lang w:bidi="ar"/>
        </w:rPr>
        <w:t>资格条件；</w:t>
      </w:r>
    </w:p>
    <w:p w14:paraId="344F1B36">
      <w:pPr>
        <w:spacing w:beforeAutospacing="1" w:afterAutospacing="1" w:line="288"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（三）非预留份额的采购项目或者采购包，明确有关价格扣除比例或者价格分加分比例；</w:t>
      </w:r>
    </w:p>
    <w:p w14:paraId="7718F0A9">
      <w:pPr>
        <w:spacing w:beforeAutospacing="1" w:afterAutospacing="1" w:line="288"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（四）规定依据本办法规定享受扶持政策获得政府采购合同的，小微企业不得将合同分包给大中型企业，中型企业不得将合同分包给大型企业；</w:t>
      </w:r>
    </w:p>
    <w:p w14:paraId="4D98A37A">
      <w:pPr>
        <w:spacing w:beforeAutospacing="1" w:afterAutospacing="1" w:line="288"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（五）采购人认为具备相关条件的，明确对中小企业在资金支付期限、预付款比例等方面的优惠措施；</w:t>
      </w:r>
    </w:p>
    <w:p w14:paraId="38879184">
      <w:pPr>
        <w:spacing w:beforeAutospacing="1" w:afterAutospacing="1" w:line="288"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（六）明确采购标的对应的中小企业划分标准所属行业；</w:t>
      </w:r>
    </w:p>
    <w:p w14:paraId="1D4AC3B0">
      <w:pPr>
        <w:spacing w:beforeAutospacing="1" w:afterAutospacing="1" w:line="288"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（七）法律法规和省级以上人民政府财政部门规定的其他事项。</w:t>
      </w:r>
    </w:p>
    <w:p w14:paraId="74CB7961">
      <w:pPr>
        <w:spacing w:beforeAutospacing="1" w:afterAutospacing="1" w:line="288" w:lineRule="auto"/>
        <w:ind w:firstLine="482" w:firstLineChars="200"/>
        <w:rPr>
          <w:rFonts w:hint="eastAsia" w:ascii="宋体" w:hAnsi="宋体" w:eastAsia="宋体" w:cs="宋体"/>
          <w:color w:val="auto"/>
          <w:sz w:val="24"/>
          <w:szCs w:val="24"/>
          <w:highlight w:val="none"/>
        </w:rPr>
      </w:pPr>
      <w:r>
        <w:rPr>
          <w:rStyle w:val="18"/>
          <w:rFonts w:hint="eastAsia" w:ascii="宋体" w:hAnsi="宋体" w:eastAsia="宋体" w:cs="宋体"/>
          <w:bCs w:val="0"/>
          <w:color w:val="auto"/>
          <w:sz w:val="24"/>
          <w:szCs w:val="24"/>
          <w:highlight w:val="none"/>
          <w:lang w:bidi="ar"/>
        </w:rPr>
        <w:t>第十三条</w:t>
      </w:r>
      <w:r>
        <w:rPr>
          <w:rFonts w:hint="eastAsia" w:ascii="宋体" w:hAnsi="宋体" w:eastAsia="宋体" w:cs="宋体"/>
          <w:color w:val="auto"/>
          <w:sz w:val="24"/>
          <w:szCs w:val="24"/>
          <w:highlight w:val="none"/>
          <w:lang w:bidi="ar"/>
        </w:rPr>
        <w:t xml:space="preserve">  中标、</w:t>
      </w:r>
      <w:r>
        <w:rPr>
          <w:rFonts w:hint="eastAsia" w:ascii="宋体" w:hAnsi="宋体" w:eastAsia="宋体" w:cs="宋体"/>
          <w:color w:val="auto"/>
          <w:sz w:val="24"/>
          <w:szCs w:val="24"/>
          <w:highlight w:val="none"/>
          <w:lang w:eastAsia="zh-CN" w:bidi="ar"/>
        </w:rPr>
        <w:t>中标投标人</w:t>
      </w:r>
      <w:r>
        <w:rPr>
          <w:rFonts w:hint="eastAsia" w:ascii="宋体" w:hAnsi="宋体" w:eastAsia="宋体" w:cs="宋体"/>
          <w:color w:val="auto"/>
          <w:sz w:val="24"/>
          <w:szCs w:val="24"/>
          <w:highlight w:val="none"/>
          <w:lang w:bidi="ar"/>
        </w:rPr>
        <w:t>享受本办法规定的中小企业扶持政策的，采购人、采购代理机构应当随中标、</w:t>
      </w:r>
      <w:r>
        <w:rPr>
          <w:rFonts w:hint="eastAsia" w:ascii="宋体" w:hAnsi="宋体" w:eastAsia="宋体" w:cs="宋体"/>
          <w:color w:val="auto"/>
          <w:sz w:val="24"/>
          <w:szCs w:val="24"/>
          <w:highlight w:val="none"/>
          <w:lang w:eastAsia="zh-CN" w:bidi="ar"/>
        </w:rPr>
        <w:t>中标</w:t>
      </w:r>
      <w:r>
        <w:rPr>
          <w:rFonts w:hint="eastAsia" w:ascii="宋体" w:hAnsi="宋体" w:eastAsia="宋体" w:cs="宋体"/>
          <w:color w:val="auto"/>
          <w:sz w:val="24"/>
          <w:szCs w:val="24"/>
          <w:highlight w:val="none"/>
          <w:lang w:bidi="ar"/>
        </w:rPr>
        <w:t>结果公开中标、</w:t>
      </w:r>
      <w:r>
        <w:rPr>
          <w:rFonts w:hint="eastAsia" w:ascii="宋体" w:hAnsi="宋体" w:eastAsia="宋体" w:cs="宋体"/>
          <w:color w:val="auto"/>
          <w:sz w:val="24"/>
          <w:szCs w:val="24"/>
          <w:highlight w:val="none"/>
          <w:lang w:eastAsia="zh-CN" w:bidi="ar"/>
        </w:rPr>
        <w:t>中标投标人</w:t>
      </w:r>
      <w:r>
        <w:rPr>
          <w:rFonts w:hint="eastAsia" w:ascii="宋体" w:hAnsi="宋体" w:eastAsia="宋体" w:cs="宋体"/>
          <w:color w:val="auto"/>
          <w:sz w:val="24"/>
          <w:szCs w:val="24"/>
          <w:highlight w:val="none"/>
          <w:lang w:bidi="ar"/>
        </w:rPr>
        <w:t>的《中小企业声明函》。</w:t>
      </w:r>
    </w:p>
    <w:p w14:paraId="7F1DC14D">
      <w:pPr>
        <w:spacing w:beforeAutospacing="1" w:afterAutospacing="1" w:line="288"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适用招标投标法的政府采购工程建设项目，应当在公示中标候选人时公开中标候选人的《中小企业声明函》。</w:t>
      </w:r>
    </w:p>
    <w:p w14:paraId="1E9424C9">
      <w:pPr>
        <w:spacing w:beforeAutospacing="1" w:afterAutospacing="1" w:line="288" w:lineRule="auto"/>
        <w:ind w:firstLine="482" w:firstLineChars="200"/>
        <w:rPr>
          <w:rFonts w:hint="eastAsia" w:ascii="宋体" w:hAnsi="宋体" w:eastAsia="宋体" w:cs="宋体"/>
          <w:color w:val="auto"/>
          <w:sz w:val="24"/>
          <w:szCs w:val="24"/>
          <w:highlight w:val="none"/>
        </w:rPr>
      </w:pPr>
      <w:r>
        <w:rPr>
          <w:rStyle w:val="18"/>
          <w:rFonts w:hint="eastAsia" w:ascii="宋体" w:hAnsi="宋体" w:eastAsia="宋体" w:cs="宋体"/>
          <w:bCs w:val="0"/>
          <w:color w:val="auto"/>
          <w:sz w:val="24"/>
          <w:szCs w:val="24"/>
          <w:highlight w:val="none"/>
          <w:lang w:bidi="ar"/>
        </w:rPr>
        <w:t>第十四条</w:t>
      </w:r>
      <w:r>
        <w:rPr>
          <w:rFonts w:hint="eastAsia" w:ascii="宋体" w:hAnsi="宋体" w:eastAsia="宋体" w:cs="宋体"/>
          <w:color w:val="auto"/>
          <w:sz w:val="24"/>
          <w:szCs w:val="24"/>
          <w:highlight w:val="none"/>
          <w:lang w:bidi="ar"/>
        </w:rPr>
        <w:t xml:space="preserve">  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14:paraId="35E7558F">
      <w:pPr>
        <w:spacing w:beforeAutospacing="1" w:afterAutospacing="1" w:line="288" w:lineRule="auto"/>
        <w:ind w:firstLine="482" w:firstLineChars="200"/>
        <w:rPr>
          <w:rFonts w:hint="eastAsia" w:ascii="宋体" w:hAnsi="宋体" w:eastAsia="宋体" w:cs="宋体"/>
          <w:color w:val="auto"/>
          <w:sz w:val="24"/>
          <w:szCs w:val="24"/>
          <w:highlight w:val="none"/>
        </w:rPr>
      </w:pPr>
      <w:r>
        <w:rPr>
          <w:rStyle w:val="18"/>
          <w:rFonts w:hint="eastAsia" w:ascii="宋体" w:hAnsi="宋体" w:eastAsia="宋体" w:cs="宋体"/>
          <w:bCs w:val="0"/>
          <w:color w:val="auto"/>
          <w:sz w:val="24"/>
          <w:szCs w:val="24"/>
          <w:highlight w:val="none"/>
          <w:lang w:bidi="ar"/>
        </w:rPr>
        <w:t>第十五条</w:t>
      </w:r>
      <w:r>
        <w:rPr>
          <w:rFonts w:hint="eastAsia" w:ascii="宋体" w:hAnsi="宋体" w:eastAsia="宋体" w:cs="宋体"/>
          <w:color w:val="auto"/>
          <w:sz w:val="24"/>
          <w:szCs w:val="24"/>
          <w:highlight w:val="none"/>
          <w:lang w:bidi="ar"/>
        </w:rPr>
        <w:t xml:space="preserve">  鼓励各地区、各部门在采购活动中允许中小企业引入信用担保手段，为中小企业在投标（响应）保证、履约保证等方面提供专业化服务。鼓励中小企业依法合规通过政府采购合同融资。</w:t>
      </w:r>
    </w:p>
    <w:p w14:paraId="200387AE">
      <w:pPr>
        <w:spacing w:beforeAutospacing="1" w:afterAutospacing="1" w:line="288" w:lineRule="auto"/>
        <w:ind w:firstLine="482" w:firstLineChars="200"/>
        <w:rPr>
          <w:rFonts w:hint="eastAsia" w:ascii="宋体" w:hAnsi="宋体" w:eastAsia="宋体" w:cs="宋体"/>
          <w:color w:val="auto"/>
          <w:sz w:val="24"/>
          <w:szCs w:val="24"/>
          <w:highlight w:val="none"/>
        </w:rPr>
      </w:pPr>
      <w:r>
        <w:rPr>
          <w:rStyle w:val="18"/>
          <w:rFonts w:hint="eastAsia" w:ascii="宋体" w:hAnsi="宋体" w:eastAsia="宋体" w:cs="宋体"/>
          <w:bCs w:val="0"/>
          <w:color w:val="auto"/>
          <w:sz w:val="24"/>
          <w:szCs w:val="24"/>
          <w:highlight w:val="none"/>
          <w:lang w:bidi="ar"/>
        </w:rPr>
        <w:t>第十六条</w:t>
      </w:r>
      <w:r>
        <w:rPr>
          <w:rFonts w:hint="eastAsia" w:ascii="宋体" w:hAnsi="宋体" w:eastAsia="宋体" w:cs="宋体"/>
          <w:color w:val="auto"/>
          <w:sz w:val="24"/>
          <w:szCs w:val="24"/>
          <w:highlight w:val="none"/>
          <w:lang w:bidi="ar"/>
        </w:rPr>
        <w:t xml:space="preserve">  政府采购监督检查、投诉处理及政府采购行政处罚中对中小企业的认定，由货物制造商或者工程、服务</w:t>
      </w:r>
      <w:r>
        <w:rPr>
          <w:rFonts w:hint="eastAsia" w:ascii="宋体" w:hAnsi="宋体" w:eastAsia="宋体" w:cs="宋体"/>
          <w:color w:val="auto"/>
          <w:sz w:val="24"/>
          <w:szCs w:val="24"/>
          <w:highlight w:val="none"/>
          <w:lang w:eastAsia="zh-CN" w:bidi="ar"/>
        </w:rPr>
        <w:t>投标人</w:t>
      </w:r>
      <w:r>
        <w:rPr>
          <w:rFonts w:hint="eastAsia" w:ascii="宋体" w:hAnsi="宋体" w:eastAsia="宋体" w:cs="宋体"/>
          <w:color w:val="auto"/>
          <w:sz w:val="24"/>
          <w:szCs w:val="24"/>
          <w:highlight w:val="none"/>
          <w:lang w:bidi="ar"/>
        </w:rPr>
        <w:t>注册登记所在地的县级以上人民政府中小企业主管部门负责。</w:t>
      </w:r>
    </w:p>
    <w:p w14:paraId="33501FB0">
      <w:pPr>
        <w:spacing w:beforeAutospacing="1" w:afterAutospacing="1" w:line="288"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中小企业主管部门应当在收到财政部门或者有关招标投标行政监督部门关于协助开展中小企业认定函后 10 个工作日内做出书面答复。</w:t>
      </w:r>
    </w:p>
    <w:p w14:paraId="34ACAFF3">
      <w:pPr>
        <w:spacing w:beforeAutospacing="1" w:afterAutospacing="1" w:line="288" w:lineRule="auto"/>
        <w:ind w:firstLine="482" w:firstLineChars="200"/>
        <w:rPr>
          <w:rFonts w:hint="eastAsia" w:ascii="宋体" w:hAnsi="宋体" w:eastAsia="宋体" w:cs="宋体"/>
          <w:color w:val="auto"/>
          <w:sz w:val="24"/>
          <w:szCs w:val="24"/>
          <w:highlight w:val="none"/>
        </w:rPr>
      </w:pPr>
      <w:r>
        <w:rPr>
          <w:rStyle w:val="18"/>
          <w:rFonts w:hint="eastAsia" w:ascii="宋体" w:hAnsi="宋体" w:eastAsia="宋体" w:cs="宋体"/>
          <w:bCs w:val="0"/>
          <w:color w:val="auto"/>
          <w:sz w:val="24"/>
          <w:szCs w:val="24"/>
          <w:highlight w:val="none"/>
          <w:lang w:bidi="ar"/>
        </w:rPr>
        <w:t>第十七条</w:t>
      </w:r>
      <w:r>
        <w:rPr>
          <w:rFonts w:hint="eastAsia" w:ascii="宋体" w:hAnsi="宋体" w:eastAsia="宋体" w:cs="宋体"/>
          <w:color w:val="auto"/>
          <w:sz w:val="24"/>
          <w:szCs w:val="24"/>
          <w:highlight w:val="none"/>
          <w:lang w:bidi="ar"/>
        </w:rPr>
        <w:t xml:space="preserve">  各地区、各部门应当对涉及中小企业采购的预算项目实施全过程绩效管理，合理设置绩效目标和指标，落实扶持中小企业有关政策要求，定期开展绩效监控和评价，强化绩效评价结果应用。</w:t>
      </w:r>
    </w:p>
    <w:p w14:paraId="30C50FE8">
      <w:pPr>
        <w:spacing w:beforeAutospacing="1" w:afterAutospacing="1" w:line="288" w:lineRule="auto"/>
        <w:ind w:firstLine="482" w:firstLineChars="200"/>
        <w:rPr>
          <w:rFonts w:hint="eastAsia" w:ascii="宋体" w:hAnsi="宋体" w:eastAsia="宋体" w:cs="宋体"/>
          <w:color w:val="auto"/>
          <w:sz w:val="24"/>
          <w:szCs w:val="24"/>
          <w:highlight w:val="none"/>
        </w:rPr>
      </w:pPr>
      <w:r>
        <w:rPr>
          <w:rStyle w:val="18"/>
          <w:rFonts w:hint="eastAsia" w:ascii="宋体" w:hAnsi="宋体" w:eastAsia="宋体" w:cs="宋体"/>
          <w:bCs w:val="0"/>
          <w:color w:val="auto"/>
          <w:sz w:val="24"/>
          <w:szCs w:val="24"/>
          <w:highlight w:val="none"/>
          <w:lang w:bidi="ar"/>
        </w:rPr>
        <w:t>第十八条</w:t>
      </w:r>
      <w:r>
        <w:rPr>
          <w:rFonts w:hint="eastAsia" w:ascii="宋体" w:hAnsi="宋体" w:eastAsia="宋体" w:cs="宋体"/>
          <w:color w:val="auto"/>
          <w:sz w:val="24"/>
          <w:szCs w:val="24"/>
          <w:highlight w:val="none"/>
          <w:lang w:bidi="ar"/>
        </w:rPr>
        <w:t xml:space="preserve">  主管预算单位应当自 2022 年起向同级财政部门报告本部门上一年度面向中小企业预留份额和采购的具体情况，并在中国政府采购网公开预留项目执行情况(附2)。未达到本办法规定的预留份额比例的，应当作出说明。</w:t>
      </w:r>
    </w:p>
    <w:p w14:paraId="32A9B61A">
      <w:pPr>
        <w:spacing w:beforeAutospacing="1" w:afterAutospacing="1" w:line="288" w:lineRule="auto"/>
        <w:ind w:firstLine="482" w:firstLineChars="200"/>
        <w:rPr>
          <w:rFonts w:hint="eastAsia" w:ascii="宋体" w:hAnsi="宋体" w:eastAsia="宋体" w:cs="宋体"/>
          <w:color w:val="auto"/>
          <w:sz w:val="24"/>
          <w:szCs w:val="24"/>
          <w:highlight w:val="none"/>
        </w:rPr>
      </w:pPr>
      <w:r>
        <w:rPr>
          <w:rStyle w:val="18"/>
          <w:rFonts w:hint="eastAsia" w:ascii="宋体" w:hAnsi="宋体" w:eastAsia="宋体" w:cs="宋体"/>
          <w:bCs w:val="0"/>
          <w:color w:val="auto"/>
          <w:sz w:val="24"/>
          <w:szCs w:val="24"/>
          <w:highlight w:val="none"/>
          <w:lang w:bidi="ar"/>
        </w:rPr>
        <w:t>第十九条</w:t>
      </w:r>
      <w:r>
        <w:rPr>
          <w:rFonts w:hint="eastAsia" w:ascii="宋体" w:hAnsi="宋体" w:eastAsia="宋体" w:cs="宋体"/>
          <w:color w:val="auto"/>
          <w:sz w:val="24"/>
          <w:szCs w:val="24"/>
          <w:highlight w:val="none"/>
          <w:lang w:bidi="ar"/>
        </w:rPr>
        <w:t xml:space="preserve">  采购人未按本办法规定为中小企业预留采购份额，采购人、采购代理机构未按照本办法规定要求实施价格扣除或者价格分加分的，属于未按照规定执行政府采购政策，依照《中华人民共和国政府采购法》等国家有关规定追究法律责任。</w:t>
      </w:r>
    </w:p>
    <w:p w14:paraId="7293C0AD">
      <w:pPr>
        <w:spacing w:beforeAutospacing="1" w:afterAutospacing="1" w:line="288" w:lineRule="auto"/>
        <w:ind w:firstLine="482" w:firstLineChars="200"/>
        <w:rPr>
          <w:rFonts w:hint="eastAsia" w:ascii="宋体" w:hAnsi="宋体" w:eastAsia="宋体" w:cs="宋体"/>
          <w:color w:val="auto"/>
          <w:sz w:val="24"/>
          <w:szCs w:val="24"/>
          <w:highlight w:val="none"/>
        </w:rPr>
      </w:pPr>
      <w:r>
        <w:rPr>
          <w:rStyle w:val="18"/>
          <w:rFonts w:hint="eastAsia" w:ascii="宋体" w:hAnsi="宋体" w:eastAsia="宋体" w:cs="宋体"/>
          <w:bCs w:val="0"/>
          <w:color w:val="auto"/>
          <w:sz w:val="24"/>
          <w:szCs w:val="24"/>
          <w:highlight w:val="none"/>
          <w:lang w:bidi="ar"/>
        </w:rPr>
        <w:t>第二十条</w:t>
      </w:r>
      <w:r>
        <w:rPr>
          <w:rFonts w:hint="eastAsia" w:ascii="宋体" w:hAnsi="宋体" w:eastAsia="宋体" w:cs="宋体"/>
          <w:color w:val="auto"/>
          <w:sz w:val="24"/>
          <w:szCs w:val="24"/>
          <w:highlight w:val="none"/>
          <w:lang w:bidi="ar"/>
        </w:rPr>
        <w:t xml:space="preserve">  </w:t>
      </w:r>
      <w:r>
        <w:rPr>
          <w:rFonts w:hint="eastAsia" w:ascii="宋体" w:hAnsi="宋体" w:eastAsia="宋体" w:cs="宋体"/>
          <w:color w:val="auto"/>
          <w:sz w:val="24"/>
          <w:szCs w:val="24"/>
          <w:highlight w:val="none"/>
          <w:lang w:eastAsia="zh-CN" w:bidi="ar"/>
        </w:rPr>
        <w:t>投标人</w:t>
      </w:r>
      <w:r>
        <w:rPr>
          <w:rFonts w:hint="eastAsia" w:ascii="宋体" w:hAnsi="宋体" w:eastAsia="宋体" w:cs="宋体"/>
          <w:color w:val="auto"/>
          <w:sz w:val="24"/>
          <w:szCs w:val="24"/>
          <w:highlight w:val="none"/>
          <w:lang w:bidi="ar"/>
        </w:rPr>
        <w:t>按照本办法规定提供声明函内容不实的，属于提供虚假材料谋取中标、</w:t>
      </w:r>
      <w:r>
        <w:rPr>
          <w:rFonts w:hint="eastAsia" w:ascii="宋体" w:hAnsi="宋体" w:eastAsia="宋体" w:cs="宋体"/>
          <w:color w:val="auto"/>
          <w:sz w:val="24"/>
          <w:szCs w:val="24"/>
          <w:highlight w:val="none"/>
          <w:lang w:eastAsia="zh-CN" w:bidi="ar"/>
        </w:rPr>
        <w:t>中标</w:t>
      </w:r>
      <w:r>
        <w:rPr>
          <w:rFonts w:hint="eastAsia" w:ascii="宋体" w:hAnsi="宋体" w:eastAsia="宋体" w:cs="宋体"/>
          <w:color w:val="auto"/>
          <w:sz w:val="24"/>
          <w:szCs w:val="24"/>
          <w:highlight w:val="none"/>
          <w:lang w:bidi="ar"/>
        </w:rPr>
        <w:t>，依照《中华人民共和国政府采购法》等国家有关规定追究相应责任。</w:t>
      </w:r>
    </w:p>
    <w:p w14:paraId="4008D30D">
      <w:pPr>
        <w:spacing w:beforeAutospacing="1" w:afterAutospacing="1" w:line="288"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适用招标投标法的政府采购工程建设项目，</w:t>
      </w:r>
      <w:r>
        <w:rPr>
          <w:rFonts w:hint="eastAsia" w:ascii="宋体" w:hAnsi="宋体" w:eastAsia="宋体" w:cs="宋体"/>
          <w:color w:val="auto"/>
          <w:sz w:val="24"/>
          <w:szCs w:val="24"/>
          <w:highlight w:val="none"/>
          <w:lang w:eastAsia="zh-CN" w:bidi="ar"/>
        </w:rPr>
        <w:t>投标人</w:t>
      </w:r>
      <w:r>
        <w:rPr>
          <w:rFonts w:hint="eastAsia" w:ascii="宋体" w:hAnsi="宋体" w:eastAsia="宋体" w:cs="宋体"/>
          <w:color w:val="auto"/>
          <w:sz w:val="24"/>
          <w:szCs w:val="24"/>
          <w:highlight w:val="none"/>
          <w:lang w:bidi="ar"/>
        </w:rPr>
        <w:t>按照本办法规定提供声明函内容不实的，属于弄虚作假骗取中标，依照《中华人民共和国招标投标法》等国家有关规定追究相应责任。</w:t>
      </w:r>
    </w:p>
    <w:p w14:paraId="422E12A5">
      <w:pPr>
        <w:spacing w:beforeAutospacing="1" w:afterAutospacing="1" w:line="288" w:lineRule="auto"/>
        <w:ind w:firstLine="482" w:firstLineChars="200"/>
        <w:rPr>
          <w:rFonts w:hint="eastAsia" w:ascii="宋体" w:hAnsi="宋体" w:eastAsia="宋体" w:cs="宋体"/>
          <w:color w:val="auto"/>
          <w:sz w:val="24"/>
          <w:szCs w:val="24"/>
          <w:highlight w:val="none"/>
        </w:rPr>
      </w:pPr>
      <w:r>
        <w:rPr>
          <w:rStyle w:val="18"/>
          <w:rFonts w:hint="eastAsia" w:ascii="宋体" w:hAnsi="宋体" w:eastAsia="宋体" w:cs="宋体"/>
          <w:bCs w:val="0"/>
          <w:color w:val="auto"/>
          <w:sz w:val="24"/>
          <w:szCs w:val="24"/>
          <w:highlight w:val="none"/>
          <w:lang w:bidi="ar"/>
        </w:rPr>
        <w:t>第二十一条</w:t>
      </w:r>
      <w:r>
        <w:rPr>
          <w:rFonts w:hint="eastAsia" w:ascii="宋体" w:hAnsi="宋体" w:eastAsia="宋体" w:cs="宋体"/>
          <w:color w:val="auto"/>
          <w:sz w:val="24"/>
          <w:szCs w:val="24"/>
          <w:highlight w:val="none"/>
          <w:lang w:bidi="ar"/>
        </w:rPr>
        <w:t xml:space="preserve">  财政部门、中小企业主管部门及其工作人员在履行职责中违反本办法规定及存在其他滥用职权、玩忽职守、徇私舞弊等违法违纪行为的，依照《中华人民共和国政府采购法》、《中华人民共和国公务员法》、《中华人民共和国监察法》、《中华人民共和国政府采购法实施条例》等国家有关规定追究相应责任；涉嫌犯罪的，依法移送有关国家机关处理。</w:t>
      </w:r>
    </w:p>
    <w:p w14:paraId="54400CC4">
      <w:pPr>
        <w:spacing w:beforeAutospacing="1" w:afterAutospacing="1" w:line="288" w:lineRule="auto"/>
        <w:ind w:firstLine="482" w:firstLineChars="200"/>
        <w:rPr>
          <w:rFonts w:hint="eastAsia" w:ascii="宋体" w:hAnsi="宋体" w:eastAsia="宋体" w:cs="宋体"/>
          <w:color w:val="auto"/>
          <w:sz w:val="24"/>
          <w:szCs w:val="24"/>
          <w:highlight w:val="none"/>
        </w:rPr>
      </w:pPr>
      <w:r>
        <w:rPr>
          <w:rStyle w:val="18"/>
          <w:rFonts w:hint="eastAsia" w:ascii="宋体" w:hAnsi="宋体" w:eastAsia="宋体" w:cs="宋体"/>
          <w:bCs w:val="0"/>
          <w:color w:val="auto"/>
          <w:sz w:val="24"/>
          <w:szCs w:val="24"/>
          <w:highlight w:val="none"/>
          <w:lang w:bidi="ar"/>
        </w:rPr>
        <w:t>第二十二条</w:t>
      </w:r>
      <w:r>
        <w:rPr>
          <w:rFonts w:hint="eastAsia" w:ascii="宋体" w:hAnsi="宋体" w:eastAsia="宋体" w:cs="宋体"/>
          <w:color w:val="auto"/>
          <w:sz w:val="24"/>
          <w:szCs w:val="24"/>
          <w:highlight w:val="none"/>
          <w:lang w:bidi="ar"/>
        </w:rPr>
        <w:t xml:space="preserve">  对外援助项目、国家相关资格或者资质管理制度另有规定的项目，不适用本办法。</w:t>
      </w:r>
    </w:p>
    <w:p w14:paraId="693560C0">
      <w:pPr>
        <w:spacing w:beforeAutospacing="1" w:afterAutospacing="1" w:line="288" w:lineRule="auto"/>
        <w:ind w:firstLine="482" w:firstLineChars="200"/>
        <w:rPr>
          <w:rFonts w:hint="eastAsia" w:ascii="宋体" w:hAnsi="宋体" w:eastAsia="宋体" w:cs="宋体"/>
          <w:color w:val="auto"/>
          <w:sz w:val="24"/>
          <w:szCs w:val="24"/>
          <w:highlight w:val="none"/>
        </w:rPr>
      </w:pPr>
      <w:r>
        <w:rPr>
          <w:rStyle w:val="18"/>
          <w:rFonts w:hint="eastAsia" w:ascii="宋体" w:hAnsi="宋体" w:eastAsia="宋体" w:cs="宋体"/>
          <w:bCs w:val="0"/>
          <w:color w:val="auto"/>
          <w:sz w:val="24"/>
          <w:szCs w:val="24"/>
          <w:highlight w:val="none"/>
          <w:lang w:bidi="ar"/>
        </w:rPr>
        <w:t>第二十三条</w:t>
      </w:r>
      <w:r>
        <w:rPr>
          <w:rFonts w:hint="eastAsia" w:ascii="宋体" w:hAnsi="宋体" w:eastAsia="宋体" w:cs="宋体"/>
          <w:color w:val="auto"/>
          <w:sz w:val="24"/>
          <w:szCs w:val="24"/>
          <w:highlight w:val="none"/>
          <w:lang w:bidi="ar"/>
        </w:rPr>
        <w:t xml:space="preserve">  关于视同中小企业的其他主体的政府采购扶持政策，由财政部会同有关部门另行规定。</w:t>
      </w:r>
    </w:p>
    <w:p w14:paraId="69054897">
      <w:pPr>
        <w:spacing w:beforeAutospacing="1" w:afterAutospacing="1" w:line="288" w:lineRule="auto"/>
        <w:ind w:firstLine="482" w:firstLineChars="200"/>
        <w:rPr>
          <w:rFonts w:hint="eastAsia" w:ascii="宋体" w:hAnsi="宋体" w:eastAsia="宋体" w:cs="宋体"/>
          <w:color w:val="auto"/>
          <w:sz w:val="24"/>
          <w:szCs w:val="24"/>
          <w:highlight w:val="none"/>
        </w:rPr>
      </w:pPr>
      <w:r>
        <w:rPr>
          <w:rStyle w:val="18"/>
          <w:rFonts w:hint="eastAsia" w:ascii="宋体" w:hAnsi="宋体" w:eastAsia="宋体" w:cs="宋体"/>
          <w:bCs w:val="0"/>
          <w:color w:val="auto"/>
          <w:sz w:val="24"/>
          <w:szCs w:val="24"/>
          <w:highlight w:val="none"/>
          <w:lang w:bidi="ar"/>
        </w:rPr>
        <w:t>第二十四条</w:t>
      </w:r>
      <w:r>
        <w:rPr>
          <w:rFonts w:hint="eastAsia" w:ascii="宋体" w:hAnsi="宋体" w:eastAsia="宋体" w:cs="宋体"/>
          <w:color w:val="auto"/>
          <w:sz w:val="24"/>
          <w:szCs w:val="24"/>
          <w:highlight w:val="none"/>
          <w:lang w:bidi="ar"/>
        </w:rPr>
        <w:t xml:space="preserve">  省级财政部门可以会同中小企业主管部门根据本办法的规定制定具体实施办法。</w:t>
      </w:r>
    </w:p>
    <w:p w14:paraId="5B5E65D3">
      <w:pPr>
        <w:spacing w:beforeAutospacing="1" w:afterAutospacing="1" w:line="288" w:lineRule="auto"/>
        <w:ind w:firstLine="482" w:firstLineChars="200"/>
        <w:rPr>
          <w:rFonts w:hint="eastAsia" w:ascii="宋体" w:hAnsi="宋体" w:eastAsia="宋体" w:cs="宋体"/>
          <w:color w:val="auto"/>
          <w:sz w:val="24"/>
          <w:szCs w:val="24"/>
          <w:highlight w:val="none"/>
          <w:lang w:bidi="ar"/>
        </w:rPr>
      </w:pPr>
      <w:r>
        <w:rPr>
          <w:rStyle w:val="18"/>
          <w:rFonts w:hint="eastAsia" w:ascii="宋体" w:hAnsi="宋体" w:eastAsia="宋体" w:cs="宋体"/>
          <w:bCs w:val="0"/>
          <w:color w:val="auto"/>
          <w:sz w:val="24"/>
          <w:szCs w:val="24"/>
          <w:highlight w:val="none"/>
          <w:lang w:bidi="ar"/>
        </w:rPr>
        <w:t>第二十五条</w:t>
      </w:r>
      <w:r>
        <w:rPr>
          <w:rFonts w:hint="eastAsia" w:ascii="宋体" w:hAnsi="宋体" w:eastAsia="宋体" w:cs="宋体"/>
          <w:color w:val="auto"/>
          <w:sz w:val="24"/>
          <w:szCs w:val="24"/>
          <w:highlight w:val="none"/>
          <w:lang w:bidi="ar"/>
        </w:rPr>
        <w:t xml:space="preserve">  本办法自 2021 年 1 月 1 日起施行。 财政部 工业和信息化部关于印发〈政府采购促进中小企业发展暂行办法〉的通知》（财库﹝2011﹞181 号）同时废止。</w:t>
      </w:r>
    </w:p>
    <w:p w14:paraId="1FCED141">
      <w:pPr>
        <w:rPr>
          <w:rFonts w:hint="eastAsia"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br w:type="page"/>
      </w:r>
    </w:p>
    <w:p w14:paraId="2EADF80F">
      <w:pPr>
        <w:keepNext w:val="0"/>
        <w:keepLines w:val="0"/>
        <w:pageBreakBefore w:val="0"/>
        <w:widowControl/>
        <w:kinsoku/>
        <w:wordWrap/>
        <w:overflowPunct/>
        <w:topLinePunct w:val="0"/>
        <w:autoSpaceDE/>
        <w:autoSpaceDN/>
        <w:bidi w:val="0"/>
        <w:adjustRightInd/>
        <w:snapToGrid/>
        <w:spacing w:line="376" w:lineRule="atLeast"/>
        <w:jc w:val="center"/>
        <w:textAlignment w:val="auto"/>
        <w:outlineLvl w:val="9"/>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政府采购促进中小企业发展暂行办法（财库[2011]181号）</w:t>
      </w:r>
    </w:p>
    <w:p w14:paraId="0F3E38D4">
      <w:pPr>
        <w:widowControl/>
        <w:spacing w:after="240" w:line="360" w:lineRule="atLeast"/>
        <w:ind w:firstLine="480"/>
        <w:jc w:val="left"/>
        <w:rPr>
          <w:rFonts w:hint="eastAsia" w:ascii="宋体" w:hAnsi="宋体" w:eastAsia="宋体" w:cs="宋体"/>
          <w:color w:val="auto"/>
          <w:kern w:val="0"/>
          <w:sz w:val="24"/>
          <w:szCs w:val="24"/>
          <w:highlight w:val="none"/>
        </w:rPr>
      </w:pPr>
    </w:p>
    <w:p w14:paraId="2409CF28">
      <w:pPr>
        <w:widowControl/>
        <w:spacing w:line="360" w:lineRule="auto"/>
        <w:ind w:firstLine="48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第一条 为了发挥政府采购的政策功能，促进符合国家经济和社会发展政策目标，产品、服务、信誉较好的中小企业发展，根据《中华人民共和国政府采购法》、《中华人民共和国中小企业促进法》等有关法律法规，制定本办法。</w:t>
      </w:r>
    </w:p>
    <w:p w14:paraId="1BAEF86B">
      <w:pPr>
        <w:widowControl/>
        <w:spacing w:line="360" w:lineRule="auto"/>
        <w:ind w:firstLine="48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第二条 本办法所称中小企业（含中型、小型、微型企业，下同）应当同时符合以下条件：</w:t>
      </w:r>
    </w:p>
    <w:p w14:paraId="35AF2D6C">
      <w:pPr>
        <w:widowControl/>
        <w:spacing w:line="360" w:lineRule="auto"/>
        <w:ind w:firstLine="48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（一）符合中小企业划分标准；</w:t>
      </w:r>
    </w:p>
    <w:p w14:paraId="130CD152">
      <w:pPr>
        <w:widowControl/>
        <w:spacing w:line="360" w:lineRule="auto"/>
        <w:ind w:firstLine="48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（二）提供本企业制造的货物、承担的工程或者服务，或者提供其他中小企业制造的货物。本项所称货物不包括使用大型企业注册商标的货物。</w:t>
      </w:r>
    </w:p>
    <w:p w14:paraId="54BD1060">
      <w:pPr>
        <w:widowControl/>
        <w:spacing w:line="360" w:lineRule="auto"/>
        <w:ind w:firstLine="48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本办法所称中小企业划分标准，是指国务院有关部门根据企业从业人员、营业收入、资产总额等指标制定的中小企业划型标准。</w:t>
      </w:r>
    </w:p>
    <w:p w14:paraId="268E4241">
      <w:pPr>
        <w:widowControl/>
        <w:spacing w:line="360" w:lineRule="auto"/>
        <w:ind w:firstLine="48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小型、微型企业提供中型企业制造的货物的，视同为中型企业。</w:t>
      </w:r>
    </w:p>
    <w:p w14:paraId="056C06CB">
      <w:pPr>
        <w:widowControl/>
        <w:spacing w:line="360" w:lineRule="auto"/>
        <w:ind w:firstLine="48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第三条 任何单位和个人不得阻挠和限制中小企业自由进入本地区和本行业的政府采购市场，政府采购活动不得以注册资本金、资产总额、营业收入、从业人员、利润、纳税额等申请人的规模条件对中小企业实行差别待遇或者歧视待遇。</w:t>
      </w:r>
    </w:p>
    <w:p w14:paraId="758BB6BD">
      <w:pPr>
        <w:widowControl/>
        <w:spacing w:line="360" w:lineRule="auto"/>
        <w:ind w:firstLine="48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第四条 负有编制部门预算职责的各部门（以下简称各部门），应当加强政府采购计划的编制工作，制定向中小企业采购的具体方案，统筹确定本部门（含所属各单位，下同）面向中小企业采购的项目。在满足机构自身运转和提供公共服务基本需求的前提下，应当预留本部门年度政府采购项目预算总额的30%以上，专门面向中小企业采购，其中，预留给小型和微型企业的比例不低于60%。</w:t>
      </w:r>
    </w:p>
    <w:p w14:paraId="7B73959F">
      <w:pPr>
        <w:widowControl/>
        <w:spacing w:line="360" w:lineRule="auto"/>
        <w:ind w:firstLine="48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采购人或者采购代理机构在组织采购活动时，应当在</w:t>
      </w:r>
      <w:r>
        <w:rPr>
          <w:rFonts w:hint="eastAsia" w:hAnsi="宋体" w:cs="宋体"/>
          <w:color w:val="auto"/>
          <w:kern w:val="0"/>
          <w:sz w:val="24"/>
          <w:szCs w:val="24"/>
          <w:highlight w:val="none"/>
          <w:lang w:val="en-US" w:eastAsia="zh-CN"/>
        </w:rPr>
        <w:t>招标</w:t>
      </w:r>
      <w:r>
        <w:rPr>
          <w:rFonts w:hint="eastAsia" w:ascii="宋体" w:hAnsi="宋体" w:eastAsia="宋体" w:cs="宋体"/>
          <w:color w:val="auto"/>
          <w:kern w:val="0"/>
          <w:sz w:val="24"/>
          <w:szCs w:val="24"/>
          <w:highlight w:val="none"/>
        </w:rPr>
        <w:t>文件或谈判文件、询价文件中注明该项目专门面向中小企业或小型、微型企业采购。</w:t>
      </w:r>
    </w:p>
    <w:p w14:paraId="76FA539D">
      <w:pPr>
        <w:widowControl/>
        <w:spacing w:line="360" w:lineRule="auto"/>
        <w:ind w:firstLine="48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第五条 对于非专门面向中小企业的项目，采购人或者采购代理机构应当在</w:t>
      </w:r>
      <w:r>
        <w:rPr>
          <w:rFonts w:hint="eastAsia" w:hAnsi="宋体" w:cs="宋体"/>
          <w:color w:val="auto"/>
          <w:kern w:val="0"/>
          <w:sz w:val="24"/>
          <w:szCs w:val="24"/>
          <w:highlight w:val="none"/>
          <w:lang w:val="en-US" w:eastAsia="zh-CN"/>
        </w:rPr>
        <w:t>招标</w:t>
      </w:r>
      <w:r>
        <w:rPr>
          <w:rFonts w:hint="eastAsia" w:ascii="宋体" w:hAnsi="宋体" w:eastAsia="宋体" w:cs="宋体"/>
          <w:color w:val="auto"/>
          <w:kern w:val="0"/>
          <w:sz w:val="24"/>
          <w:szCs w:val="24"/>
          <w:highlight w:val="none"/>
        </w:rPr>
        <w:t>文件或者谈判文件、询价文件中作出规定，对小型和微型企业产品的价格给予6%-10%的扣除，用扣除后的价格参与评审，具体扣除比例由采购人或者采购代理机构确定。</w:t>
      </w:r>
    </w:p>
    <w:p w14:paraId="69340338">
      <w:pPr>
        <w:widowControl/>
        <w:spacing w:line="360" w:lineRule="auto"/>
        <w:ind w:firstLine="48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参加政府采购活动的中小企业应当提供本办法规定的《中小企业声明函》（见附件）。</w:t>
      </w:r>
    </w:p>
    <w:p w14:paraId="5E0F4A00">
      <w:pPr>
        <w:widowControl/>
        <w:spacing w:line="360" w:lineRule="auto"/>
        <w:ind w:firstLine="48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第六条 鼓励大中型企业和其他自然人、法人或者其他组织与小型、微型企业组成联合体共同参加非专门面向中小企业的政府采购活动。联合协议中约定，小型、微型企业的协议合同金额占到联合体协议合同总金额30%以上的，可给予联合体2%-3%的价格扣除。</w:t>
      </w:r>
    </w:p>
    <w:p w14:paraId="6E94D5B6">
      <w:pPr>
        <w:widowControl/>
        <w:spacing w:line="360" w:lineRule="auto"/>
        <w:ind w:firstLine="48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联合体各方均为小型、微型企业的，联合体视同为小型、微型企业享受本办法第四条、第五条规定的扶持政策。</w:t>
      </w:r>
    </w:p>
    <w:p w14:paraId="638031C9">
      <w:pPr>
        <w:widowControl/>
        <w:spacing w:line="360" w:lineRule="auto"/>
        <w:ind w:firstLine="48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组成联合体的大中型企业和其他自然人、法人或者其他组织，与小型、微型企业之间不得存在投资关系。</w:t>
      </w:r>
    </w:p>
    <w:p w14:paraId="7F5E1C44">
      <w:pPr>
        <w:widowControl/>
        <w:spacing w:line="360" w:lineRule="auto"/>
        <w:ind w:firstLine="48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第七条 中小企业依据本办法第四条、第五条、第六条规定的政策获取政府采购合同后，小型、微型企业不得分包或转包给大型、中型企业，中型企业不得分包或转包给大型企业。</w:t>
      </w:r>
    </w:p>
    <w:p w14:paraId="0524C4CB">
      <w:pPr>
        <w:widowControl/>
        <w:spacing w:line="360" w:lineRule="auto"/>
        <w:ind w:firstLine="48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第八条 鼓励采购人允许获得政府采购合同的大型企业依法向中小企业分包。</w:t>
      </w:r>
    </w:p>
    <w:p w14:paraId="11ED850D">
      <w:pPr>
        <w:widowControl/>
        <w:spacing w:line="360" w:lineRule="auto"/>
        <w:ind w:firstLine="48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大型企业向中小企业分包的金额，计入面向中小企业采购的统计数额。</w:t>
      </w:r>
    </w:p>
    <w:p w14:paraId="3AAF1C5C">
      <w:pPr>
        <w:widowControl/>
        <w:spacing w:line="360" w:lineRule="auto"/>
        <w:ind w:firstLine="48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第九条 鼓励采购人在与中小企业签订政府采购合同时，在履约保证金、付款期限、付款方式等方面给予中小企业适当支持。采购人应当按照合同约定按时足额支付采购资金。</w:t>
      </w:r>
    </w:p>
    <w:p w14:paraId="742BA533">
      <w:pPr>
        <w:widowControl/>
        <w:spacing w:line="360" w:lineRule="auto"/>
        <w:ind w:firstLine="48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第十条 鼓励在政府采购活动中引入信用担保手段，为中小企业在融资、投标保证、履约保证等方面提供专业化的担保服务。</w:t>
      </w:r>
    </w:p>
    <w:p w14:paraId="5DD2E767">
      <w:pPr>
        <w:widowControl/>
        <w:spacing w:line="360" w:lineRule="auto"/>
        <w:ind w:firstLine="48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第十一条 各级财政部门和有关部门应当加大对中小企业参与政府采购的培训指导及专业化咨询服务力度，提高中小企业参与政府采购活动的能力。</w:t>
      </w:r>
    </w:p>
    <w:p w14:paraId="00D2E6B6">
      <w:pPr>
        <w:widowControl/>
        <w:spacing w:line="360" w:lineRule="auto"/>
        <w:ind w:firstLine="48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第十二条 各部门应当每年第一季度向同级财政部门报告本部门上一年度面向中小企业采购的具体情况，并在财政部指定的政府采购发布媒体公开预留项目执行情况以及本部门其他项目面向中小企业采购的情况。</w:t>
      </w:r>
    </w:p>
    <w:p w14:paraId="0C54D5AF">
      <w:pPr>
        <w:widowControl/>
        <w:spacing w:line="360" w:lineRule="auto"/>
        <w:ind w:firstLine="48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第十三条 各级财政部门应当积极推进政府采购信息化建设，提高政府采购信息发布透明度，提供便于中小企业获取政府采购信息的稳定渠道。</w:t>
      </w:r>
    </w:p>
    <w:p w14:paraId="59C70F54">
      <w:pPr>
        <w:widowControl/>
        <w:spacing w:line="360" w:lineRule="auto"/>
        <w:ind w:firstLine="48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第十四条 各级财政部门会同中小企业主管部门建立健全政府采购促进中小企业发展的有关制度，加强有关政策执行情况的监督检查。</w:t>
      </w:r>
    </w:p>
    <w:p w14:paraId="7DF532AB">
      <w:pPr>
        <w:widowControl/>
        <w:spacing w:line="360" w:lineRule="auto"/>
        <w:ind w:firstLine="48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各部门负责对本部门政府采购促进中小企业发展各项工作的执行和管理。</w:t>
      </w:r>
    </w:p>
    <w:p w14:paraId="5C9B6847">
      <w:pPr>
        <w:widowControl/>
        <w:spacing w:line="360" w:lineRule="auto"/>
        <w:ind w:firstLine="48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第十五条 政府采购监督检查和投诉处理中对中小企业的认定，由企业所在地的县级以上中小企业主管部门负责。</w:t>
      </w:r>
    </w:p>
    <w:p w14:paraId="4511A764">
      <w:pPr>
        <w:widowControl/>
        <w:spacing w:line="360" w:lineRule="auto"/>
        <w:ind w:firstLine="48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第十六条 采购人、采购代理机构或者中小企业在政府采购活动中有违法违规行为的，依照政府采购法及有关法律法规处理。</w:t>
      </w:r>
    </w:p>
    <w:p w14:paraId="313D8E7E">
      <w:pPr>
        <w:widowControl/>
        <w:spacing w:line="360" w:lineRule="auto"/>
        <w:ind w:firstLine="48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第十七条 本办法由财政部、工业和信息化部负责解释。</w:t>
      </w:r>
    </w:p>
    <w:p w14:paraId="2AAB61AE">
      <w:pPr>
        <w:widowControl/>
        <w:spacing w:line="360" w:lineRule="auto"/>
        <w:ind w:firstLine="48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第十八条 本办法自2012年1月1日起施行。</w:t>
      </w:r>
    </w:p>
    <w:p w14:paraId="454399F7">
      <w:pPr>
        <w:spacing w:beforeAutospacing="1" w:afterAutospacing="1" w:line="288" w:lineRule="auto"/>
        <w:ind w:firstLine="480" w:firstLineChars="200"/>
        <w:rPr>
          <w:rFonts w:hint="eastAsia" w:ascii="宋体" w:hAnsi="宋体" w:eastAsia="宋体" w:cs="宋体"/>
          <w:color w:val="auto"/>
          <w:sz w:val="24"/>
          <w:szCs w:val="24"/>
          <w:highlight w:val="none"/>
          <w:lang w:bidi="ar"/>
        </w:rPr>
      </w:pPr>
    </w:p>
    <w:p w14:paraId="374ADDFC">
      <w:pPr>
        <w:spacing w:beforeAutospacing="1" w:afterAutospacing="1" w:line="288"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bidi="ar"/>
        </w:rPr>
        <w:t> </w:t>
      </w:r>
    </w:p>
    <w:p w14:paraId="22E0047E">
      <w:pPr>
        <w:shd w:val="clear" w:color="auto" w:fill="FFFFFF"/>
        <w:spacing w:before="120" w:beforeLines="50" w:after="120" w:afterLines="50" w:line="400" w:lineRule="exact"/>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br w:type="page"/>
      </w:r>
      <w:r>
        <w:rPr>
          <w:rFonts w:hint="eastAsia" w:ascii="宋体" w:hAnsi="宋体" w:eastAsia="宋体" w:cs="宋体"/>
          <w:b/>
          <w:bCs/>
          <w:color w:val="auto"/>
          <w:sz w:val="24"/>
          <w:szCs w:val="24"/>
          <w:highlight w:val="none"/>
          <w:shd w:val="clear" w:color="auto" w:fill="FFFFFF"/>
          <w:lang w:bidi="ar"/>
        </w:rPr>
        <w:t>财政部关于进一步加大政府采购支持中小企业力度的通知</w:t>
      </w:r>
    </w:p>
    <w:p w14:paraId="3D9328F4">
      <w:pPr>
        <w:shd w:val="clear" w:color="auto" w:fill="FFFFFF"/>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lang w:bidi="ar"/>
        </w:rPr>
        <w:t>（财库〔2022〕19号）</w:t>
      </w:r>
    </w:p>
    <w:p w14:paraId="0C10E870">
      <w:pPr>
        <w:pStyle w:val="6"/>
        <w:spacing w:after="0" w:line="34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shd w:val="clear" w:color="auto" w:fill="FFFFFF"/>
          <w:lang w:bidi="ar"/>
        </w:rPr>
        <w:t> </w:t>
      </w:r>
      <w:r>
        <w:rPr>
          <w:rFonts w:hint="eastAsia" w:ascii="宋体" w:hAnsi="宋体" w:eastAsia="宋体" w:cs="宋体"/>
          <w:bCs/>
          <w:color w:val="auto"/>
          <w:sz w:val="24"/>
          <w:szCs w:val="24"/>
          <w:highlight w:val="none"/>
        </w:rPr>
        <w:t>各中央预算单位，各省、自治区、直辖市、计划单列市财政厅（局），新疆生产建设兵团财政局：</w:t>
      </w:r>
    </w:p>
    <w:p w14:paraId="44F53E84">
      <w:pPr>
        <w:pStyle w:val="6"/>
        <w:spacing w:after="0" w:line="34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为贯彻落实《国务院关于印发扎实稳住经济一揽子政策措施的通知》（国发〔2022〕12号）有关要求，做好财政政策支持中小企业纾困解难工作，助力经济平稳健康发展，现就加大政府采购支持中小企业力度有关事项通知如下：</w:t>
      </w:r>
    </w:p>
    <w:p w14:paraId="30EE1226">
      <w:pPr>
        <w:pStyle w:val="6"/>
        <w:spacing w:after="0" w:line="34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一、严格落实支持中小企业政府采购政策。各地区、各部门要按照国务院的统一部署，认真落实《政府采购促进中小企业发展管理办法》（财库〔2020〕46号）的规定，规范资格条件设置，降低中小企业参与门槛，灵活采取项目整体预留、合理预留采购包、要求大企业与中小企业组成联合体、要求大企业向中小企业分包等形式，确保中小企业合同份额。要通过提高预付款比例、引入信用担保、支持中小企业开展合同融资、免费提供电子采购文件等方式，为中小企业参与采购活动提供便利。要严格按规定及时支付采购资金，不得收取没有法律法规依据的保证金，有效减轻中小企业资金压力。</w:t>
      </w:r>
    </w:p>
    <w:p w14:paraId="35C57158">
      <w:pPr>
        <w:pStyle w:val="6"/>
        <w:spacing w:after="0" w:line="34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二、调整对小微企业的价格评审优惠幅度。货物服务采购项目给予小微企业的价格扣除优惠，由财库〔2020〕46号文件规定的6%—10%提高至10%—20%。大中型企业与小微企业组成联合体或者大中型企业向小微企业分包的，评审优惠幅度由2%—3%提高至4%—6%。政府采购工程的价格评审优惠按照财库〔2020〕46号文件的规定执行。自本通知执行之日起发布采购公告或者发出采购邀请的货物服务采购项目，按照本通知规定的评审优惠幅度执行。</w:t>
      </w:r>
    </w:p>
    <w:p w14:paraId="45F3AB9F">
      <w:pPr>
        <w:pStyle w:val="6"/>
        <w:spacing w:after="0" w:line="34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三、提高政府采购工程面向中小企业预留份额。400万元以下的工程采购项目适宜由中小企业提供的，采购人应当专门面向中小企业采购。超过400万元的工程采购项目中适宜由中小企业提供的，在坚持公开公正、公平竞争原则和统一质量标准的前提下，2022年下半年面向中小企业的预留份额由30%以上阶段性提高至40%以上。发展改革委会同相关工程招投标行政监督部门完善工程招投标领域落实政府采购支持中小企业政策相关措施。省级财政部门要积极协调发展改革、工业和信息化、住房和城乡建设、交通、水利、商务、铁路、民航等部门调整完善工程招投标领域有关标准文本、评标制度等规定和做法，并于2022年6月30日前将落实情况汇总报财政部。</w:t>
      </w:r>
    </w:p>
    <w:p w14:paraId="23A92947">
      <w:pPr>
        <w:pStyle w:val="6"/>
        <w:spacing w:after="0" w:line="34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四、认真做好组织实施。各地区、各部门应当加强组织领导，明确工作责任，细化执行要求，强化监督检查，确保国务院部署落实到位，对通知执行中出现的问题要及时向财政部报告。</w:t>
      </w:r>
    </w:p>
    <w:p w14:paraId="1E444380">
      <w:pPr>
        <w:pStyle w:val="6"/>
        <w:spacing w:after="0" w:line="340" w:lineRule="exact"/>
        <w:ind w:firstLine="480" w:firstLineChars="200"/>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本通知自2022年7月1日起执行。</w:t>
      </w:r>
    </w:p>
    <w:p w14:paraId="1C8F573B">
      <w:pPr>
        <w:pStyle w:val="6"/>
        <w:spacing w:after="0" w:line="340" w:lineRule="exact"/>
        <w:ind w:firstLine="480" w:firstLineChars="200"/>
        <w:jc w:val="righ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                                                                        财政部</w:t>
      </w:r>
    </w:p>
    <w:p w14:paraId="7FF85B69">
      <w:pPr>
        <w:spacing w:line="400" w:lineRule="exact"/>
        <w:jc w:val="right"/>
        <w:rPr>
          <w:rFonts w:hint="eastAsia" w:ascii="宋体" w:hAnsi="宋体" w:eastAsia="宋体" w:cs="宋体"/>
          <w:bCs/>
          <w:color w:val="auto"/>
          <w:sz w:val="24"/>
          <w:szCs w:val="24"/>
          <w:highlight w:val="none"/>
          <w:shd w:val="clear" w:color="auto" w:fill="FFFFFF"/>
        </w:rPr>
      </w:pPr>
      <w:r>
        <w:rPr>
          <w:rFonts w:hint="eastAsia" w:ascii="宋体" w:hAnsi="宋体" w:eastAsia="宋体" w:cs="宋体"/>
          <w:bCs/>
          <w:color w:val="auto"/>
          <w:sz w:val="24"/>
          <w:szCs w:val="24"/>
          <w:highlight w:val="none"/>
        </w:rPr>
        <w:t>2022年5月30日</w:t>
      </w:r>
      <w:r>
        <w:rPr>
          <w:rFonts w:hint="eastAsia" w:ascii="宋体" w:hAnsi="宋体" w:eastAsia="宋体" w:cs="宋体"/>
          <w:b/>
          <w:bCs/>
          <w:color w:val="auto"/>
          <w:sz w:val="24"/>
          <w:szCs w:val="24"/>
          <w:highlight w:val="none"/>
        </w:rPr>
        <w:br w:type="page"/>
      </w:r>
      <w:r>
        <w:rPr>
          <w:rFonts w:hint="eastAsia" w:ascii="宋体" w:hAnsi="宋体" w:eastAsia="宋体" w:cs="宋体"/>
          <w:bCs/>
          <w:color w:val="auto"/>
          <w:sz w:val="24"/>
          <w:szCs w:val="24"/>
          <w:highlight w:val="none"/>
          <w:shd w:val="clear" w:color="auto" w:fill="FFFFFF"/>
        </w:rPr>
        <w:t>关于印发《吉林省强化政府采购政策支持中小企业发展落实举措》的通知</w:t>
      </w:r>
    </w:p>
    <w:p w14:paraId="3A2015C8">
      <w:pPr>
        <w:pStyle w:val="14"/>
        <w:spacing w:before="120" w:beforeLines="50" w:after="120" w:afterLines="50"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吉财采购〔2022〕478号 </w:t>
      </w:r>
    </w:p>
    <w:p w14:paraId="5341D997">
      <w:pPr>
        <w:pStyle w:val="14"/>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各省级主管预算单位，各市（州）、县（市、区）财政局，长白山管委会、长春新区、中韩（长春）国际合作示范区管委会财政局，各政府采购代理机构： </w:t>
      </w:r>
    </w:p>
    <w:p w14:paraId="34DE4FAF">
      <w:pPr>
        <w:pStyle w:val="14"/>
        <w:spacing w:line="4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现将《吉林省强化政府采购政策支持中小企业发展落实举措》印发给你们，请遵照执行。 </w:t>
      </w:r>
    </w:p>
    <w:p w14:paraId="52C788D0">
      <w:pPr>
        <w:pStyle w:val="14"/>
        <w:spacing w:line="4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附件：吉林省强化政府采购政策支持中小企业发展落实举措 </w:t>
      </w:r>
    </w:p>
    <w:p w14:paraId="4C22BBDF">
      <w:pPr>
        <w:pStyle w:val="14"/>
        <w:spacing w:line="400" w:lineRule="exact"/>
        <w:ind w:firstLine="645"/>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吉林省财政厅 </w:t>
      </w:r>
    </w:p>
    <w:p w14:paraId="4505F1C0">
      <w:pPr>
        <w:pStyle w:val="14"/>
        <w:spacing w:line="400" w:lineRule="exact"/>
        <w:ind w:firstLine="645"/>
        <w:jc w:val="righ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2022年6月6日 </w:t>
      </w:r>
    </w:p>
    <w:p w14:paraId="715960BD">
      <w:pPr>
        <w:pStyle w:val="14"/>
        <w:wordWrap/>
        <w:spacing w:line="400" w:lineRule="exact"/>
        <w:ind w:firstLine="645"/>
        <w:jc w:val="right"/>
        <w:rPr>
          <w:rFonts w:hint="eastAsia" w:ascii="宋体" w:hAnsi="宋体" w:eastAsia="宋体" w:cs="宋体"/>
          <w:color w:val="auto"/>
          <w:sz w:val="24"/>
          <w:szCs w:val="24"/>
          <w:highlight w:val="none"/>
        </w:rPr>
      </w:pPr>
    </w:p>
    <w:p w14:paraId="3DD3E119">
      <w:pPr>
        <w:pStyle w:val="14"/>
        <w:wordWrap/>
        <w:spacing w:line="400" w:lineRule="exact"/>
        <w:ind w:firstLine="645"/>
        <w:jc w:val="right"/>
        <w:rPr>
          <w:rFonts w:hint="eastAsia" w:ascii="宋体" w:hAnsi="宋体" w:eastAsia="宋体" w:cs="宋体"/>
          <w:color w:val="auto"/>
          <w:sz w:val="24"/>
          <w:szCs w:val="24"/>
          <w:highlight w:val="none"/>
        </w:rPr>
      </w:pPr>
    </w:p>
    <w:p w14:paraId="12B0B6C5">
      <w:pPr>
        <w:pStyle w:val="14"/>
        <w:wordWrap/>
        <w:spacing w:line="400" w:lineRule="exact"/>
        <w:ind w:firstLine="645"/>
        <w:jc w:val="right"/>
        <w:rPr>
          <w:rFonts w:hint="eastAsia" w:ascii="宋体" w:hAnsi="宋体" w:eastAsia="宋体" w:cs="宋体"/>
          <w:color w:val="auto"/>
          <w:sz w:val="24"/>
          <w:szCs w:val="24"/>
          <w:highlight w:val="none"/>
        </w:rPr>
      </w:pPr>
    </w:p>
    <w:p w14:paraId="50BCD028">
      <w:pPr>
        <w:pStyle w:val="14"/>
        <w:wordWrap/>
        <w:spacing w:line="400" w:lineRule="exact"/>
        <w:ind w:firstLine="645"/>
        <w:jc w:val="right"/>
        <w:rPr>
          <w:rFonts w:hint="eastAsia" w:ascii="宋体" w:hAnsi="宋体" w:eastAsia="宋体" w:cs="宋体"/>
          <w:color w:val="auto"/>
          <w:sz w:val="24"/>
          <w:szCs w:val="24"/>
          <w:highlight w:val="none"/>
        </w:rPr>
      </w:pPr>
    </w:p>
    <w:p w14:paraId="3B475C8E">
      <w:pPr>
        <w:pStyle w:val="14"/>
        <w:wordWrap/>
        <w:spacing w:line="400" w:lineRule="exact"/>
        <w:ind w:firstLine="645"/>
        <w:jc w:val="right"/>
        <w:rPr>
          <w:rFonts w:hint="eastAsia" w:ascii="宋体" w:hAnsi="宋体" w:eastAsia="宋体" w:cs="宋体"/>
          <w:color w:val="auto"/>
          <w:sz w:val="24"/>
          <w:szCs w:val="24"/>
          <w:highlight w:val="none"/>
        </w:rPr>
      </w:pPr>
    </w:p>
    <w:p w14:paraId="2B7C3F16">
      <w:pPr>
        <w:pStyle w:val="14"/>
        <w:wordWrap/>
        <w:spacing w:line="400" w:lineRule="exact"/>
        <w:ind w:firstLine="645"/>
        <w:jc w:val="right"/>
        <w:rPr>
          <w:rFonts w:hint="eastAsia" w:ascii="宋体" w:hAnsi="宋体" w:eastAsia="宋体" w:cs="宋体"/>
          <w:color w:val="auto"/>
          <w:sz w:val="24"/>
          <w:szCs w:val="24"/>
          <w:highlight w:val="none"/>
        </w:rPr>
      </w:pPr>
    </w:p>
    <w:p w14:paraId="2E3EC594">
      <w:pPr>
        <w:bidi w:val="0"/>
        <w:rPr>
          <w:rFonts w:hint="eastAsia"/>
          <w:color w:val="auto"/>
          <w:highlight w:val="none"/>
        </w:rPr>
      </w:pPr>
    </w:p>
    <w:p w14:paraId="4282BA3B">
      <w:pPr>
        <w:bidi w:val="0"/>
        <w:rPr>
          <w:rFonts w:hint="eastAsia"/>
          <w:color w:val="auto"/>
          <w:highlight w:val="none"/>
        </w:rPr>
      </w:pPr>
    </w:p>
    <w:p w14:paraId="665EA9F4">
      <w:pPr>
        <w:bidi w:val="0"/>
        <w:rPr>
          <w:rFonts w:hint="eastAsia"/>
          <w:color w:val="auto"/>
          <w:highlight w:val="none"/>
        </w:rPr>
      </w:pPr>
    </w:p>
    <w:p w14:paraId="0EBDB17E">
      <w:pPr>
        <w:bidi w:val="0"/>
        <w:rPr>
          <w:rFonts w:hint="eastAsia"/>
          <w:color w:val="auto"/>
          <w:highlight w:val="none"/>
        </w:rPr>
      </w:pPr>
    </w:p>
    <w:p w14:paraId="19456626">
      <w:pPr>
        <w:bidi w:val="0"/>
        <w:rPr>
          <w:rFonts w:hint="eastAsia"/>
          <w:color w:val="auto"/>
          <w:highlight w:val="none"/>
        </w:rPr>
      </w:pPr>
    </w:p>
    <w:p w14:paraId="50AD336A">
      <w:pPr>
        <w:bidi w:val="0"/>
        <w:rPr>
          <w:rFonts w:hint="eastAsia"/>
          <w:color w:val="auto"/>
          <w:highlight w:val="none"/>
        </w:rPr>
      </w:pPr>
    </w:p>
    <w:p w14:paraId="537D16F9">
      <w:pPr>
        <w:bidi w:val="0"/>
        <w:rPr>
          <w:rFonts w:hint="eastAsia"/>
          <w:color w:val="auto"/>
          <w:highlight w:val="none"/>
        </w:rPr>
      </w:pPr>
    </w:p>
    <w:p w14:paraId="2FD4CAF9">
      <w:pPr>
        <w:bidi w:val="0"/>
        <w:rPr>
          <w:rFonts w:hint="eastAsia"/>
          <w:color w:val="auto"/>
          <w:highlight w:val="none"/>
        </w:rPr>
      </w:pPr>
    </w:p>
    <w:p w14:paraId="2879F489">
      <w:pPr>
        <w:pStyle w:val="14"/>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w:t>
      </w:r>
    </w:p>
    <w:p w14:paraId="136C852B">
      <w:pPr>
        <w:pStyle w:val="14"/>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吉林省强化政府采购政策支持中小企业发展落实举措 </w:t>
      </w:r>
    </w:p>
    <w:p w14:paraId="5EE30C26">
      <w:pPr>
        <w:pStyle w:val="14"/>
        <w:spacing w:line="400" w:lineRule="exact"/>
        <w:ind w:firstLine="64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为贯彻落实《国务院关于印发扎实稳住经济一揽子政策措施的通知》（国发〔2022〕12号）和省政府《稳定全省经济若干措施》要求，积极应对突发疫情对我省经济社会影响，做好财政政策支持中小企业纾困解难工作，助力全省经济平稳健康发展，按照财政部《关于进一步加大政府采购支持中小企业力度的通知》（财库〔2022〕19号）规定，提出如下落实措施： </w:t>
      </w:r>
    </w:p>
    <w:p w14:paraId="3683D907">
      <w:pPr>
        <w:pStyle w:val="14"/>
        <w:spacing w:line="400" w:lineRule="exact"/>
        <w:ind w:firstLine="645"/>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一、强化政策落实支持中小企业发展 </w:t>
      </w:r>
    </w:p>
    <w:p w14:paraId="5154D3A6">
      <w:pPr>
        <w:pStyle w:val="14"/>
        <w:spacing w:line="400" w:lineRule="exact"/>
        <w:ind w:firstLine="64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各级预算单位要认真落实《政府采购促进中小企业发展管理办法》（财库〔2020〕46号，以下简称《办法》）的规定，加强采购需求管理，规范资格条件设置，降低中小企业参加政府采购活动门槛 。科学编制政府采购预算，提高中小企业预留份额。结合采购项目的实际情况，灵活采取项目整体预留、合理预留采购包、要求大企业与中小企业组成联合体或向中小企业分包等形式，确保中小企业合同份额。适用招标投标法的政府采购工程项目应严格落实政府采购支持中小企业政策。 </w:t>
      </w:r>
    </w:p>
    <w:p w14:paraId="4C23294C">
      <w:pPr>
        <w:pStyle w:val="14"/>
        <w:spacing w:line="400" w:lineRule="exact"/>
        <w:ind w:firstLine="645"/>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二、提高政府采购项目价格评审优惠幅度 </w:t>
      </w:r>
    </w:p>
    <w:p w14:paraId="676E45EB">
      <w:pPr>
        <w:pStyle w:val="14"/>
        <w:spacing w:line="400" w:lineRule="exact"/>
        <w:ind w:firstLine="64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自2022年7月1日起发布采购公告或者发出采购邀请，未预留份额专门面向中小企业采购的货物、服务项目，给予小微企业的价格扣除优惠由《办法》规定的6%-10%提高至10%-20%；大中型企业与小微企业组成联合体或者大中型企业向小微企业分包的，评审优惠幅度由2%—3%提高至4%—6%。政府采购工程的价格评审优惠按照《办法》的规定执行。 </w:t>
      </w:r>
    </w:p>
    <w:p w14:paraId="395F5832">
      <w:pPr>
        <w:pStyle w:val="14"/>
        <w:spacing w:line="400" w:lineRule="exact"/>
        <w:ind w:firstLine="645"/>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三、提高政府采购工程项目预留份额比例 </w:t>
      </w:r>
    </w:p>
    <w:p w14:paraId="36BC3915">
      <w:pPr>
        <w:pStyle w:val="14"/>
        <w:spacing w:line="400" w:lineRule="exact"/>
        <w:ind w:firstLine="64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400万元以下的工程采购项目适宜由中小企业提供的，采购人应当专门面向中小企业采购。达到或超过400万元的工程采购项目中适宜由中小企业提供的，在坚持公开、公正、公平竞争和统一质量标准的前提下，2022年下半年面向中小企业的预留份额由30%以上提高至40%以上。省财政厅将协调发改、工信、住建、交通、水利、商务等部门，按照国家相关工程招投标行政监督部门对工程招投标领域落实政府采购支持中小企业的政策要求，及时调整完善工程招投标领域有关标准文本、评标制度等，支持督促各预算单位严格落实政府采购政策。 </w:t>
      </w:r>
    </w:p>
    <w:p w14:paraId="768F936A">
      <w:pPr>
        <w:pStyle w:val="14"/>
        <w:spacing w:line="400" w:lineRule="exact"/>
        <w:ind w:firstLine="645"/>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四、降低经营成本提高履约能力 </w:t>
      </w:r>
    </w:p>
    <w:p w14:paraId="5AF3E2E6">
      <w:pPr>
        <w:pStyle w:val="14"/>
        <w:spacing w:line="400" w:lineRule="exact"/>
        <w:ind w:firstLine="64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鼓励采购人、采购代理机构在政府采购活动中免收中小企业保证金或降低收取比例。对确需依法收取保证金的，应明确收取标准、缴纳方式和退还时限等要求，允许中小企业自主选择以支票、汇票、本票、保函等非现金形式缴纳或提交，降低经营成本。采购人、采购代理机构应对2022年5月前实施完成的政府采购项目投标（响应）或履约保证金进行核查清理，对符合法定或合同约定退还条件的应及时退还，切实减轻中小企业资金压力。采购人在编制采购文件时可结合项目实际，明确中小企业获得合同后可采取分期付款的方式，最大限度的确定首期预付款比例，并尽量缩短资金支付期限。 </w:t>
      </w:r>
    </w:p>
    <w:p w14:paraId="504E41F0">
      <w:pPr>
        <w:pStyle w:val="14"/>
        <w:spacing w:line="400" w:lineRule="exact"/>
        <w:ind w:firstLine="645"/>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五、优化政府采购程序推进全流程电子化 </w:t>
      </w:r>
    </w:p>
    <w:p w14:paraId="0710C430">
      <w:pPr>
        <w:pStyle w:val="14"/>
        <w:spacing w:line="400" w:lineRule="exact"/>
        <w:ind w:firstLine="64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中小企业参加政府采购活动，对于出具《中小企业声明函》的，任何单位和个人不得另行要求提供《中小企业声明函》之外的中小企业身份证明文件。对于法人代表已经出具委托书的，不得要求法人代表亲自领购采购文件或者到场参加开标、谈判等。加快推进全省政府采购全流程电子化建设，实现在线发布采购公告、提供采购文件、提交投标（响应）文件，实行电子开标、电子评审，提升中小企业参与政府采购活动的便利度。 </w:t>
      </w:r>
    </w:p>
    <w:p w14:paraId="05DA1D50">
      <w:pPr>
        <w:pStyle w:val="14"/>
        <w:spacing w:line="400" w:lineRule="exact"/>
        <w:ind w:firstLine="645"/>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六、加强项目执行管理提升政府采购透明度 </w:t>
      </w:r>
    </w:p>
    <w:p w14:paraId="0C018393">
      <w:pPr>
        <w:pStyle w:val="14"/>
        <w:spacing w:line="400" w:lineRule="exact"/>
        <w:ind w:firstLine="64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采购人、采购代理机构对投标（响应）文件的格式、形式要求应当简化明确，不得因非实质性的格式、形式问题限制和影响中小企业投标（响应）。实现电子化采购的，采购人、采购代理机构应当免费提供电子采购文件；暂未实现电子化采购的，鼓励采购人、采购代理机构向中小企业免费提供纸质采购文件。各级预算单位在公开政府采购意向时，必须标明是否专门面向中小企业采购，便于中小企业提前做好参与政府采购活动的各项准备工作。未按照规定进行政府采购意向公开的采购项目，原则上不得开展采购活动。 </w:t>
      </w:r>
    </w:p>
    <w:p w14:paraId="5D045011">
      <w:pPr>
        <w:pStyle w:val="14"/>
        <w:spacing w:line="400" w:lineRule="exact"/>
        <w:ind w:firstLine="64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各级主管预算单位要加强对本部门、本系统政府采购项目的统筹把握，明确工作责任，周密安排部署，严格落实预留采购份额和价格评审优惠措施支持中小企业发展。同时，按照六条措施要求，要制定具体工作方案，确保政策执行不走样、显成效。各级财政部门应加强组织领导，结合本地区实际情况明确政策执行要求，加强对采购单位政策执行情况的监督检查，在政策执行中好的经验办法和遇到的问题及时向省财政厅报告。</w:t>
      </w:r>
    </w:p>
    <w:p w14:paraId="05B8CD74">
      <w:pPr>
        <w:spacing w:before="120" w:beforeLines="50" w:after="120" w:afterLines="50"/>
        <w:jc w:val="center"/>
        <w:textAlignment w:val="baseline"/>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rPr>
        <w:br w:type="page"/>
      </w:r>
      <w:r>
        <w:rPr>
          <w:rFonts w:hint="eastAsia" w:ascii="宋体" w:hAnsi="宋体" w:eastAsia="宋体" w:cs="宋体"/>
          <w:b/>
          <w:color w:val="auto"/>
          <w:sz w:val="24"/>
          <w:szCs w:val="24"/>
          <w:highlight w:val="none"/>
        </w:rPr>
        <w:t>财政部 司法部关于政府采购支持监狱企业发展有关问题的通知</w:t>
      </w:r>
    </w:p>
    <w:p w14:paraId="1F653DEE">
      <w:pPr>
        <w:keepNext w:val="0"/>
        <w:keepLines w:val="0"/>
        <w:pageBreakBefore w:val="0"/>
        <w:widowControl w:val="0"/>
        <w:kinsoku/>
        <w:wordWrap/>
        <w:overflowPunct/>
        <w:topLinePunct w:val="0"/>
        <w:autoSpaceDE/>
        <w:autoSpaceDN/>
        <w:bidi w:val="0"/>
        <w:adjustRightInd/>
        <w:snapToGrid/>
        <w:spacing w:before="120" w:beforeLines="50" w:after="120" w:afterLines="50" w:line="288" w:lineRule="auto"/>
        <w:jc w:val="center"/>
        <w:textAlignment w:val="baseline"/>
        <w:outlineLvl w:val="9"/>
        <w:rPr>
          <w:rFonts w:hint="eastAsia" w:ascii="宋体" w:hAnsi="宋体" w:eastAsia="宋体" w:cs="宋体"/>
          <w:b w:val="0"/>
          <w:bCs/>
          <w:color w:val="auto"/>
          <w:sz w:val="24"/>
          <w:szCs w:val="24"/>
          <w:highlight w:val="none"/>
        </w:rPr>
      </w:pPr>
      <w:bookmarkStart w:id="74" w:name="_Toc21391"/>
      <w:r>
        <w:rPr>
          <w:rFonts w:hint="eastAsia" w:ascii="宋体" w:hAnsi="宋体" w:eastAsia="宋体" w:cs="宋体"/>
          <w:b w:val="0"/>
          <w:bCs/>
          <w:color w:val="auto"/>
          <w:sz w:val="24"/>
          <w:szCs w:val="24"/>
          <w:highlight w:val="none"/>
          <w:shd w:val="clear" w:color="auto" w:fill="FFFFFF"/>
        </w:rPr>
        <w:t>财库〔2014〕68号</w:t>
      </w:r>
      <w:bookmarkEnd w:id="74"/>
    </w:p>
    <w:p w14:paraId="0936B98C">
      <w:pPr>
        <w:pStyle w:val="14"/>
        <w:spacing w:line="288" w:lineRule="auto"/>
        <w:textAlignment w:val="baseline"/>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党中央有关部门，国务院各部委、各直属机构，全国人大常委会办公厅，全国政协办公厅，高法院，高检院，有关人民团体，中央国家机关政府采购中心，中共中央直属机关采购中心，全国人大机关采购中心，各省、自治区、直辖市、计划单列市财政厅（局）、司法厅（局），新疆生产建设兵团财务局、司法局、监狱管理局：</w:t>
      </w:r>
    </w:p>
    <w:p w14:paraId="382F64F4">
      <w:pPr>
        <w:pStyle w:val="14"/>
        <w:spacing w:line="288" w:lineRule="auto"/>
        <w:textAlignment w:val="baseline"/>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　　政府采购支持监狱和戒毒企业（以下简称监狱企业）发展对稳定监狱企业生产，提高财政资金使用效益，为罪犯和戒毒人员提供长期可靠的劳动岗位，提高罪犯和戒毒人员的教育改造质量，减少重新违法犯罪，确保监狱、戒毒场所安全稳定，促进社会和谐稳定具有十分重要的意义。为进一步贯彻落实国务院《关于解决监狱企业困难的实施方案的通知》（国发[2003]7号）文件精神，发挥政府采购支持监狱企业发展的作用，现就有关事项通知如下：</w:t>
      </w:r>
    </w:p>
    <w:p w14:paraId="3BA36237">
      <w:pPr>
        <w:pStyle w:val="14"/>
        <w:spacing w:line="288" w:lineRule="auto"/>
        <w:textAlignment w:val="baseline"/>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　　一、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政府采购活动时，应当提供由省级以上监狱管理局、戒毒管理局（含新疆生产建设兵团）出具的属于监狱企业的证明文件。</w:t>
      </w:r>
    </w:p>
    <w:p w14:paraId="0A80756B">
      <w:pPr>
        <w:pStyle w:val="14"/>
        <w:spacing w:line="288" w:lineRule="auto"/>
        <w:textAlignment w:val="baseline"/>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　　二、在政府采购活动中，监狱企业视同小型、微型企业，享受预留份额、评审中价格扣除等政府采购促进中小企业发展的政府采购政策。向监狱企业采购的金额，计入面向中小企业采购的统计数据。</w:t>
      </w:r>
    </w:p>
    <w:p w14:paraId="707CEE22">
      <w:pPr>
        <w:pStyle w:val="14"/>
        <w:spacing w:line="288" w:lineRule="auto"/>
        <w:textAlignment w:val="baseline"/>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　　三、各地区、各部门要积极通过预留采购份额支持监狱企业。有制服采购项目的部门，应加强对政府采购预算和计划编制工作的统筹，预留本部门制服采购项目预算总额的30%以上，专门面向监狱企业采购。省级以上政府部门组织的公务员考试、招生考试、等级考试、资格考试的试卷印刷项目原则上应当在符合有关资质的监狱企业范围内采购。各地在免费教科书政府采购工作中，应当根据符合教科书印制资质的监狱企业情况，提出由监狱企业印刷的比例要求。</w:t>
      </w:r>
    </w:p>
    <w:p w14:paraId="2C079010">
      <w:pPr>
        <w:pStyle w:val="14"/>
        <w:spacing w:line="288" w:lineRule="auto"/>
        <w:textAlignment w:val="baseline"/>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　　四、各地区可以结合本地区实际，对监狱企业生产的办公用品、家具用具、车辆维修和提供的保养服务、消防设备等，提出预留份额等政府采购支持措施，加大对监狱企业产品的采购力度。</w:t>
      </w:r>
    </w:p>
    <w:p w14:paraId="3B67F08D">
      <w:pPr>
        <w:pStyle w:val="14"/>
        <w:spacing w:line="288" w:lineRule="auto"/>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　　五、各地区、各部门要高度重视，加强组织管理和监督，做好政府采购支持监狱企业发展的相关工作。有关部门要加强监管，确保面向监狱企业采购的工作依法依规进行。各监狱企业要不断提高监狱企业产品的质量和服务水平，为做好监狱企业产品政府采购工作提供有力保障。</w:t>
      </w:r>
    </w:p>
    <w:p w14:paraId="03545267">
      <w:pPr>
        <w:pStyle w:val="14"/>
        <w:spacing w:line="288" w:lineRule="auto"/>
        <w:jc w:val="right"/>
        <w:textAlignment w:val="baseline"/>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中华人民共和国财政部</w:t>
      </w:r>
    </w:p>
    <w:p w14:paraId="63BA3D5B">
      <w:pPr>
        <w:pStyle w:val="14"/>
        <w:spacing w:line="288" w:lineRule="auto"/>
        <w:jc w:val="right"/>
        <w:textAlignment w:val="baseline"/>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中华人民共和国司法部</w:t>
      </w:r>
    </w:p>
    <w:p w14:paraId="5F2AE51C">
      <w:pPr>
        <w:pStyle w:val="14"/>
        <w:spacing w:line="288" w:lineRule="auto"/>
        <w:jc w:val="right"/>
        <w:textAlignment w:val="baseline"/>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2014年6月10日</w:t>
      </w:r>
    </w:p>
    <w:p w14:paraId="4D85A12C">
      <w:pPr>
        <w:spacing w:before="120" w:beforeLines="50" w:after="120" w:afterLines="50"/>
        <w:jc w:val="center"/>
        <w:textAlignment w:val="baseline"/>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shd w:val="clear" w:color="auto" w:fill="FFFFFF"/>
        </w:rPr>
        <w:br w:type="page"/>
      </w:r>
      <w:r>
        <w:rPr>
          <w:rFonts w:hint="eastAsia" w:ascii="宋体" w:hAnsi="宋体" w:eastAsia="宋体" w:cs="宋体"/>
          <w:b/>
          <w:color w:val="auto"/>
          <w:sz w:val="24"/>
          <w:szCs w:val="24"/>
          <w:highlight w:val="none"/>
        </w:rPr>
        <w:t>关于促进残疾人就业政府采购政策的通知</w:t>
      </w:r>
    </w:p>
    <w:p w14:paraId="21A5E46C">
      <w:pPr>
        <w:pStyle w:val="14"/>
        <w:spacing w:before="48" w:beforeLines="20" w:after="48" w:afterLines="20" w:line="288" w:lineRule="auto"/>
        <w:jc w:val="center"/>
        <w:textAlignment w:val="baseline"/>
        <w:rPr>
          <w:rFonts w:hint="eastAsia" w:ascii="宋体" w:hAnsi="宋体" w:eastAsia="宋体" w:cs="宋体"/>
          <w:bCs/>
          <w:color w:val="auto"/>
          <w:sz w:val="24"/>
          <w:szCs w:val="24"/>
          <w:highlight w:val="none"/>
        </w:rPr>
      </w:pPr>
      <w:r>
        <w:rPr>
          <w:rStyle w:val="18"/>
          <w:rFonts w:hint="eastAsia" w:ascii="宋体" w:hAnsi="宋体" w:eastAsia="宋体" w:cs="宋体"/>
          <w:bCs w:val="0"/>
          <w:color w:val="auto"/>
          <w:sz w:val="24"/>
          <w:szCs w:val="24"/>
          <w:highlight w:val="none"/>
          <w:shd w:val="clear" w:color="auto" w:fill="FFFFFF"/>
        </w:rPr>
        <w:t>财库〔2017〕141号</w:t>
      </w:r>
    </w:p>
    <w:p w14:paraId="3BA28767">
      <w:pPr>
        <w:pStyle w:val="14"/>
        <w:spacing w:line="288" w:lineRule="auto"/>
        <w:jc w:val="both"/>
        <w:textAlignment w:val="baseline"/>
        <w:rPr>
          <w:rFonts w:hint="eastAsia" w:ascii="宋体" w:hAnsi="宋体" w:eastAsia="宋体" w:cs="宋体"/>
          <w:color w:val="auto"/>
          <w:sz w:val="24"/>
          <w:szCs w:val="24"/>
          <w:highlight w:val="none"/>
        </w:rPr>
      </w:pPr>
      <w:bookmarkStart w:id="75" w:name="toDeptId"/>
      <w:r>
        <w:rPr>
          <w:rFonts w:hint="eastAsia" w:ascii="宋体" w:hAnsi="宋体" w:eastAsia="宋体" w:cs="宋体"/>
          <w:color w:val="auto"/>
          <w:sz w:val="24"/>
          <w:szCs w:val="24"/>
          <w:highlight w:val="none"/>
          <w:shd w:val="clear" w:color="auto" w:fill="FFFFFF"/>
        </w:rPr>
        <w:t>党中央有关部门，国务院各部委、各直属机构，全国人大常委会办公厅，全国政协办公厅，高法院，高检院，各民主党派中央，有关人民团体，各省、自治区、直辖市、计划单列市财政厅（局）、民政厅（局）、残疾人联合会，新疆生产建设兵团财务局、民政局、残疾人联合会</w:t>
      </w:r>
      <w:bookmarkEnd w:id="75"/>
      <w:r>
        <w:rPr>
          <w:rFonts w:hint="eastAsia" w:ascii="宋体" w:hAnsi="宋体" w:eastAsia="宋体" w:cs="宋体"/>
          <w:color w:val="auto"/>
          <w:sz w:val="24"/>
          <w:szCs w:val="24"/>
          <w:highlight w:val="none"/>
          <w:shd w:val="clear" w:color="auto" w:fill="FFFFFF"/>
        </w:rPr>
        <w:t>：</w:t>
      </w:r>
    </w:p>
    <w:p w14:paraId="032486CD">
      <w:pPr>
        <w:pStyle w:val="14"/>
        <w:spacing w:line="288" w:lineRule="auto"/>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为了发挥政府采购促进残疾人就业的作用，进一步保障残疾人权益，依照《政府采购法》、《残疾人保障法》等法律法规及相关规定，现就促进残疾人就业政府采购政策通知如下：</w:t>
      </w:r>
    </w:p>
    <w:p w14:paraId="155E5240">
      <w:pPr>
        <w:pStyle w:val="14"/>
        <w:spacing w:line="288" w:lineRule="auto"/>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一、享受政府采购支持政策的残疾人福利性单位应当同时满足以下条件：</w:t>
      </w:r>
    </w:p>
    <w:p w14:paraId="42BBED12">
      <w:pPr>
        <w:pStyle w:val="14"/>
        <w:spacing w:line="288" w:lineRule="auto"/>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（一）安置的残疾人占本单位在职职工人数的比例不低于25%（含25%），并且安置的残疾人人数不少于10人（含10人）；</w:t>
      </w:r>
    </w:p>
    <w:p w14:paraId="42553229">
      <w:pPr>
        <w:pStyle w:val="14"/>
        <w:spacing w:line="288" w:lineRule="auto"/>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（二）依法与安置的每位残疾人签订了一年以上（含一年）的劳动合同或服务协议；</w:t>
      </w:r>
    </w:p>
    <w:p w14:paraId="7D1097A1">
      <w:pPr>
        <w:pStyle w:val="14"/>
        <w:spacing w:line="288" w:lineRule="auto"/>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（三）为安置的每位残疾人按月足额缴纳了基本养老保险、基本医疗保险、失业保险、工伤保险和生育保险等社会保险费；</w:t>
      </w:r>
    </w:p>
    <w:p w14:paraId="11CA8E1B">
      <w:pPr>
        <w:pStyle w:val="14"/>
        <w:spacing w:line="288" w:lineRule="auto"/>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（四）通过银行等金融机构向安置的每位残疾人，按月支付了不低于单位所在区县适用的经省级人民政府批准的月最低工资标准的工资；</w:t>
      </w:r>
    </w:p>
    <w:p w14:paraId="201AD2B7">
      <w:pPr>
        <w:pStyle w:val="14"/>
        <w:spacing w:line="288" w:lineRule="auto"/>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（五）提供本单位制造的货物、承担的工程或者服务（以下简称产品），或者提供其他残疾人福利性单位制造的货物（不包括使用非残疾人福利性单位注册商标的货物）。</w:t>
      </w:r>
    </w:p>
    <w:p w14:paraId="692477AD">
      <w:pPr>
        <w:pStyle w:val="14"/>
        <w:spacing w:line="288" w:lineRule="auto"/>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421CCDCF">
      <w:pPr>
        <w:pStyle w:val="14"/>
        <w:spacing w:line="288" w:lineRule="auto"/>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二、符合条件的残疾人福利性单位在参加政府采购活动时，应当提供本通知规定的《残疾人福利性单位声明函》（见附件），并对声明的真实性负责。任何单位或者个人在政府采购活动中均不得要求残疾人福利性单位提供其他证明声明函内容的材料。</w:t>
      </w:r>
    </w:p>
    <w:p w14:paraId="41226165">
      <w:pPr>
        <w:pStyle w:val="14"/>
        <w:spacing w:line="288" w:lineRule="auto"/>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中标、</w:t>
      </w:r>
      <w:r>
        <w:rPr>
          <w:rFonts w:hint="eastAsia" w:ascii="宋体" w:hAnsi="宋体" w:eastAsia="宋体" w:cs="宋体"/>
          <w:color w:val="auto"/>
          <w:sz w:val="24"/>
          <w:szCs w:val="24"/>
          <w:highlight w:val="none"/>
          <w:shd w:val="clear" w:color="auto" w:fill="FFFFFF"/>
          <w:lang w:eastAsia="zh-CN"/>
        </w:rPr>
        <w:t>中标投标人</w:t>
      </w:r>
      <w:r>
        <w:rPr>
          <w:rFonts w:hint="eastAsia" w:ascii="宋体" w:hAnsi="宋体" w:eastAsia="宋体" w:cs="宋体"/>
          <w:color w:val="auto"/>
          <w:sz w:val="24"/>
          <w:szCs w:val="24"/>
          <w:highlight w:val="none"/>
          <w:shd w:val="clear" w:color="auto" w:fill="FFFFFF"/>
        </w:rPr>
        <w:t>为残疾人福利性单位的，采购人或者其委托的采购代理机构应当随中标、</w:t>
      </w:r>
      <w:r>
        <w:rPr>
          <w:rFonts w:hint="eastAsia" w:ascii="宋体" w:hAnsi="宋体" w:eastAsia="宋体" w:cs="宋体"/>
          <w:color w:val="auto"/>
          <w:sz w:val="24"/>
          <w:szCs w:val="24"/>
          <w:highlight w:val="none"/>
          <w:shd w:val="clear" w:color="auto" w:fill="FFFFFF"/>
          <w:lang w:eastAsia="zh-CN"/>
        </w:rPr>
        <w:t>中标</w:t>
      </w:r>
      <w:r>
        <w:rPr>
          <w:rFonts w:hint="eastAsia" w:ascii="宋体" w:hAnsi="宋体" w:eastAsia="宋体" w:cs="宋体"/>
          <w:color w:val="auto"/>
          <w:sz w:val="24"/>
          <w:szCs w:val="24"/>
          <w:highlight w:val="none"/>
          <w:shd w:val="clear" w:color="auto" w:fill="FFFFFF"/>
        </w:rPr>
        <w:t>结果同时公告其《残疾人福利性单位声明函》，接受社会监督。</w:t>
      </w:r>
    </w:p>
    <w:p w14:paraId="109726EE">
      <w:pPr>
        <w:pStyle w:val="14"/>
        <w:spacing w:line="288" w:lineRule="auto"/>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lang w:eastAsia="zh-CN"/>
        </w:rPr>
        <w:t>投标人</w:t>
      </w:r>
      <w:r>
        <w:rPr>
          <w:rFonts w:hint="eastAsia" w:ascii="宋体" w:hAnsi="宋体" w:eastAsia="宋体" w:cs="宋体"/>
          <w:color w:val="auto"/>
          <w:sz w:val="24"/>
          <w:szCs w:val="24"/>
          <w:highlight w:val="none"/>
          <w:shd w:val="clear" w:color="auto" w:fill="FFFFFF"/>
        </w:rPr>
        <w:t>提供的《残疾人福利性单位声明函》与事实不符的，依照《政府采购法》第七十七条第一款的规定追究法律责任。</w:t>
      </w:r>
    </w:p>
    <w:p w14:paraId="0F1AF185">
      <w:pPr>
        <w:pStyle w:val="14"/>
        <w:spacing w:line="288" w:lineRule="auto"/>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三、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p>
    <w:p w14:paraId="76FC4CE1">
      <w:pPr>
        <w:pStyle w:val="14"/>
        <w:spacing w:line="288" w:lineRule="auto"/>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四、采购人采购公开招标数额标准以上的货物或者服务，因落实促进残疾人就业政策的需要，依法履行有关报批程序后，可采用公开招标以外的采购方式。</w:t>
      </w:r>
    </w:p>
    <w:p w14:paraId="0D7D2689">
      <w:pPr>
        <w:pStyle w:val="14"/>
        <w:spacing w:line="288" w:lineRule="auto"/>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五、对于满足要求的残疾人福利性单位产品，集中采购机构可直接纳入协议供货或者定点采购范围。各地区建设的政府采购电子卖场、电子商城、网上超市等应当设立残疾人福利性单位产品专栏。鼓励采购人优先选择残疾人福利性单位的产品。</w:t>
      </w:r>
    </w:p>
    <w:p w14:paraId="7BC50557">
      <w:pPr>
        <w:pStyle w:val="14"/>
        <w:spacing w:line="288" w:lineRule="auto"/>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六、省级财政部门可以结合本地区残疾人生产、经营的实际情况，细化政府采购支持措施。对符合国家有关部门规定条件的残疾人辅助性就业机构，可通过上述措施予以支持。各地制定的有关文件应当报财政部备案。</w:t>
      </w:r>
    </w:p>
    <w:p w14:paraId="19315A85">
      <w:pPr>
        <w:pStyle w:val="14"/>
        <w:spacing w:line="288" w:lineRule="auto"/>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七、本通知自2017年10月1日起执行。</w:t>
      </w:r>
    </w:p>
    <w:p w14:paraId="439CC68A">
      <w:pPr>
        <w:pStyle w:val="14"/>
        <w:spacing w:line="288" w:lineRule="auto"/>
        <w:jc w:val="right"/>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　　财政部 民政部 中国残疾人联合会</w:t>
      </w:r>
    </w:p>
    <w:p w14:paraId="66D725B3">
      <w:pPr>
        <w:pStyle w:val="14"/>
        <w:spacing w:line="288" w:lineRule="auto"/>
        <w:jc w:val="right"/>
        <w:textAlignment w:val="baseline"/>
        <w:rPr>
          <w:rFonts w:hint="eastAsia" w:ascii="宋体" w:hAnsi="宋体" w:eastAsia="宋体" w:cs="宋体"/>
          <w:color w:val="auto"/>
          <w:sz w:val="24"/>
          <w:szCs w:val="24"/>
          <w:highlight w:val="none"/>
          <w:shd w:val="clear" w:color="auto" w:fill="FFFFFF"/>
        </w:rPr>
      </w:pPr>
      <w:r>
        <w:rPr>
          <w:rFonts w:hint="eastAsia" w:ascii="宋体" w:hAnsi="宋体" w:eastAsia="宋体" w:cs="宋体"/>
          <w:color w:val="auto"/>
          <w:sz w:val="24"/>
          <w:szCs w:val="24"/>
          <w:highlight w:val="none"/>
          <w:shd w:val="clear" w:color="auto" w:fill="FFFFFF"/>
        </w:rPr>
        <w:t>　　2017年8月22日</w:t>
      </w:r>
    </w:p>
    <w:p w14:paraId="18FC777E">
      <w:pPr>
        <w:pStyle w:val="14"/>
        <w:spacing w:line="340" w:lineRule="exact"/>
        <w:jc w:val="center"/>
        <w:textAlignment w:val="baseline"/>
        <w:rPr>
          <w:rFonts w:hint="eastAsia" w:ascii="宋体" w:hAnsi="宋体" w:eastAsia="宋体" w:cs="宋体"/>
          <w:color w:val="auto"/>
          <w:sz w:val="24"/>
          <w:szCs w:val="24"/>
          <w:highlight w:val="none"/>
          <w:shd w:val="clear" w:color="auto" w:fill="FFFFFF"/>
        </w:rPr>
      </w:pPr>
    </w:p>
    <w:p w14:paraId="3949AC60">
      <w:pPr>
        <w:pStyle w:val="14"/>
        <w:spacing w:line="340" w:lineRule="exact"/>
        <w:jc w:val="center"/>
        <w:textAlignment w:val="baseline"/>
        <w:rPr>
          <w:rFonts w:hint="eastAsia" w:ascii="宋体" w:hAnsi="宋体" w:eastAsia="宋体" w:cs="宋体"/>
          <w:color w:val="auto"/>
          <w:sz w:val="24"/>
          <w:szCs w:val="24"/>
          <w:highlight w:val="none"/>
          <w:shd w:val="clear" w:color="auto" w:fill="FFFFFF"/>
        </w:rPr>
      </w:pPr>
    </w:p>
    <w:p w14:paraId="213D1D9E">
      <w:pPr>
        <w:pStyle w:val="14"/>
        <w:spacing w:line="340" w:lineRule="exact"/>
        <w:jc w:val="center"/>
        <w:textAlignment w:val="baseline"/>
        <w:rPr>
          <w:rFonts w:hint="eastAsia" w:ascii="宋体" w:hAnsi="宋体" w:eastAsia="宋体" w:cs="宋体"/>
          <w:color w:val="auto"/>
          <w:sz w:val="24"/>
          <w:szCs w:val="24"/>
          <w:highlight w:val="none"/>
          <w:shd w:val="clear" w:color="auto" w:fill="FFFFFF"/>
        </w:rPr>
      </w:pPr>
    </w:p>
    <w:p w14:paraId="20AA550D">
      <w:pPr>
        <w:pStyle w:val="14"/>
        <w:spacing w:line="340" w:lineRule="exact"/>
        <w:jc w:val="center"/>
        <w:textAlignment w:val="baseline"/>
        <w:rPr>
          <w:rFonts w:hint="eastAsia" w:ascii="宋体" w:hAnsi="宋体" w:eastAsia="宋体" w:cs="宋体"/>
          <w:color w:val="auto"/>
          <w:sz w:val="24"/>
          <w:szCs w:val="24"/>
          <w:highlight w:val="none"/>
          <w:shd w:val="clear" w:color="auto" w:fill="FFFFFF"/>
        </w:rPr>
      </w:pPr>
    </w:p>
    <w:p w14:paraId="7364C13D">
      <w:pPr>
        <w:pStyle w:val="14"/>
        <w:spacing w:line="340" w:lineRule="exact"/>
        <w:jc w:val="center"/>
        <w:textAlignment w:val="baseline"/>
        <w:rPr>
          <w:rFonts w:hint="eastAsia" w:ascii="宋体" w:hAnsi="宋体" w:eastAsia="宋体" w:cs="宋体"/>
          <w:color w:val="auto"/>
          <w:sz w:val="24"/>
          <w:szCs w:val="24"/>
          <w:highlight w:val="none"/>
          <w:shd w:val="clear" w:color="auto" w:fill="FFFFFF"/>
        </w:rPr>
      </w:pPr>
    </w:p>
    <w:p w14:paraId="7C11DDE5">
      <w:pPr>
        <w:pStyle w:val="14"/>
        <w:spacing w:line="340" w:lineRule="exact"/>
        <w:jc w:val="center"/>
        <w:textAlignment w:val="baseline"/>
        <w:rPr>
          <w:rFonts w:hint="eastAsia" w:ascii="宋体" w:hAnsi="宋体" w:eastAsia="宋体" w:cs="宋体"/>
          <w:color w:val="auto"/>
          <w:sz w:val="24"/>
          <w:szCs w:val="24"/>
          <w:highlight w:val="none"/>
          <w:shd w:val="clear" w:color="auto" w:fill="FFFFFF"/>
        </w:rPr>
      </w:pPr>
    </w:p>
    <w:p w14:paraId="45DE22BD">
      <w:pPr>
        <w:spacing w:before="120" w:beforeLines="50" w:after="120" w:afterLines="50"/>
        <w:jc w:val="center"/>
        <w:textAlignment w:val="baseline"/>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《统计上大中小微型企业划分办法（2017）》修订说明</w:t>
      </w:r>
    </w:p>
    <w:p w14:paraId="61172D6C">
      <w:pPr>
        <w:spacing w:line="288"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一、修订背景</w:t>
      </w:r>
    </w:p>
    <w:p w14:paraId="237BA410">
      <w:pPr>
        <w:spacing w:line="288"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目前执行的《统计上大中小微型企业划分办法》是2011年国家统计局根据工业和信息化部、国家统计局、国家发展改革委、财政部《关于印发中小企业划型标准规定的通知》（工信部联企业〔2011〕300号），同时依据《国民经济行业分类》（GB/T 4754—2011），制定并颁布的。</w:t>
      </w:r>
    </w:p>
    <w:p w14:paraId="57C29112">
      <w:pPr>
        <w:spacing w:line="288"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2017年6月30日，《国民经济行业分类》（GB/T 4754—2017）正式颁布。8月29日，国家统计局印发《关于执行新国民经济行业分类国家标准的通知》（国统字〔2017〕142号），规定从2017年统计年报和2018年定期统计报表起统一使用新分类标准。为此，我们对2011年印发的《统计上大中小微型企业划分办法》进行修订。</w:t>
      </w:r>
    </w:p>
    <w:p w14:paraId="71DBE8BD">
      <w:pPr>
        <w:spacing w:line="288"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二、修订主要内容</w:t>
      </w:r>
    </w:p>
    <w:p w14:paraId="1F325645">
      <w:pPr>
        <w:spacing w:line="288"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本次修订是在2011年《统计上大中小微型企业划分办法》基础上进行的，修订延续原有的分类原则、方法和结构框架，在保持适用范围不变的情况下,依据标准由《国民经济行业分类》（GB/T 4754—2011）修改为《国民经济行业分类》（GB/T 4754—2017），并根据新旧国民经济行业的对应关系，进行了行业所包含类别的对应调整。</w:t>
      </w:r>
    </w:p>
    <w:p w14:paraId="13CE5EB1">
      <w:pPr>
        <w:spacing w:line="288"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将交通运输业中包括的“装卸搬运和运输代理业”修改为“多式联运和运输代理业、装卸搬运”。</w:t>
      </w:r>
    </w:p>
    <w:p w14:paraId="718309F6">
      <w:pPr>
        <w:spacing w:line="288" w:lineRule="auto"/>
        <w:ind w:firstLine="512" w:firstLineChars="200"/>
        <w:rPr>
          <w:rFonts w:hint="eastAsia" w:ascii="宋体" w:hAnsi="宋体" w:eastAsia="宋体" w:cs="宋体"/>
          <w:color w:val="auto"/>
          <w:spacing w:val="8"/>
          <w:sz w:val="24"/>
          <w:szCs w:val="24"/>
          <w:highlight w:val="none"/>
        </w:rPr>
      </w:pPr>
      <w:r>
        <w:rPr>
          <w:rFonts w:hint="eastAsia" w:ascii="宋体" w:hAnsi="宋体" w:eastAsia="宋体" w:cs="宋体"/>
          <w:color w:val="auto"/>
          <w:spacing w:val="8"/>
          <w:sz w:val="24"/>
          <w:szCs w:val="24"/>
          <w:highlight w:val="none"/>
        </w:rPr>
        <w:t>仓储业所包括的行业中类，根据《国民经济行业分类》</w:t>
      </w:r>
      <w:r>
        <w:rPr>
          <w:rFonts w:hint="eastAsia" w:ascii="宋体" w:hAnsi="宋体" w:eastAsia="宋体" w:cs="宋体"/>
          <w:color w:val="auto"/>
          <w:sz w:val="24"/>
          <w:szCs w:val="24"/>
          <w:highlight w:val="none"/>
        </w:rPr>
        <w:t>（GB/T 4754—2017）</w:t>
      </w:r>
      <w:r>
        <w:rPr>
          <w:rFonts w:hint="eastAsia" w:ascii="宋体" w:hAnsi="宋体" w:eastAsia="宋体" w:cs="宋体"/>
          <w:color w:val="auto"/>
          <w:spacing w:val="8"/>
          <w:sz w:val="24"/>
          <w:szCs w:val="24"/>
          <w:highlight w:val="none"/>
        </w:rPr>
        <w:t>调整为“通用仓储，低温仓储，危险品仓储，谷物、棉花等农产品仓储，中药材仓储和其他仓储业”。</w:t>
      </w:r>
    </w:p>
    <w:p w14:paraId="0A0E3985">
      <w:pPr>
        <w:spacing w:line="288"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附表</w:t>
      </w:r>
    </w:p>
    <w:p w14:paraId="471A7009">
      <w:pPr>
        <w:spacing w:line="288"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统计上大中小微型企业划分标准</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6"/>
        <w:gridCol w:w="1600"/>
        <w:gridCol w:w="850"/>
        <w:gridCol w:w="1450"/>
        <w:gridCol w:w="1701"/>
        <w:gridCol w:w="1426"/>
        <w:gridCol w:w="992"/>
      </w:tblGrid>
      <w:tr w14:paraId="7B8D6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exact"/>
          <w:jc w:val="center"/>
        </w:trPr>
        <w:tc>
          <w:tcPr>
            <w:tcW w:w="1416" w:type="dxa"/>
            <w:noWrap w:val="0"/>
            <w:vAlign w:val="center"/>
          </w:tcPr>
          <w:p w14:paraId="7222DFE6">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行业名称</w:t>
            </w:r>
          </w:p>
        </w:tc>
        <w:tc>
          <w:tcPr>
            <w:tcW w:w="1600" w:type="dxa"/>
            <w:noWrap w:val="0"/>
            <w:vAlign w:val="center"/>
          </w:tcPr>
          <w:p w14:paraId="6DCB5A51">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指标名称</w:t>
            </w:r>
          </w:p>
        </w:tc>
        <w:tc>
          <w:tcPr>
            <w:tcW w:w="850" w:type="dxa"/>
            <w:noWrap w:val="0"/>
            <w:vAlign w:val="center"/>
          </w:tcPr>
          <w:p w14:paraId="394F57FC">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计量</w:t>
            </w:r>
          </w:p>
          <w:p w14:paraId="20A9434C">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单位</w:t>
            </w:r>
          </w:p>
        </w:tc>
        <w:tc>
          <w:tcPr>
            <w:tcW w:w="1450" w:type="dxa"/>
            <w:noWrap w:val="0"/>
            <w:vAlign w:val="center"/>
          </w:tcPr>
          <w:p w14:paraId="0F234F8F">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大型</w:t>
            </w:r>
          </w:p>
        </w:tc>
        <w:tc>
          <w:tcPr>
            <w:tcW w:w="1701" w:type="dxa"/>
            <w:noWrap w:val="0"/>
            <w:vAlign w:val="center"/>
          </w:tcPr>
          <w:p w14:paraId="017BC33C">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中型</w:t>
            </w:r>
          </w:p>
        </w:tc>
        <w:tc>
          <w:tcPr>
            <w:tcW w:w="1426" w:type="dxa"/>
            <w:noWrap w:val="0"/>
            <w:vAlign w:val="center"/>
          </w:tcPr>
          <w:p w14:paraId="4306EA10">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小型</w:t>
            </w:r>
          </w:p>
        </w:tc>
        <w:tc>
          <w:tcPr>
            <w:tcW w:w="992" w:type="dxa"/>
            <w:noWrap w:val="0"/>
            <w:vAlign w:val="center"/>
          </w:tcPr>
          <w:p w14:paraId="0B6B0E7A">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微型</w:t>
            </w:r>
          </w:p>
        </w:tc>
      </w:tr>
      <w:tr w14:paraId="22C3C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exact"/>
          <w:jc w:val="center"/>
        </w:trPr>
        <w:tc>
          <w:tcPr>
            <w:tcW w:w="1416" w:type="dxa"/>
            <w:noWrap w:val="0"/>
            <w:vAlign w:val="center"/>
          </w:tcPr>
          <w:p w14:paraId="06418F6B">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农、林、牧、渔业</w:t>
            </w:r>
          </w:p>
        </w:tc>
        <w:tc>
          <w:tcPr>
            <w:tcW w:w="1600" w:type="dxa"/>
            <w:noWrap w:val="0"/>
            <w:vAlign w:val="center"/>
          </w:tcPr>
          <w:p w14:paraId="2486F010">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营业收入(Y)</w:t>
            </w:r>
          </w:p>
        </w:tc>
        <w:tc>
          <w:tcPr>
            <w:tcW w:w="850" w:type="dxa"/>
            <w:noWrap w:val="0"/>
            <w:vAlign w:val="center"/>
          </w:tcPr>
          <w:p w14:paraId="6EA045A3">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万元</w:t>
            </w:r>
          </w:p>
        </w:tc>
        <w:tc>
          <w:tcPr>
            <w:tcW w:w="1450" w:type="dxa"/>
            <w:noWrap w:val="0"/>
            <w:vAlign w:val="center"/>
          </w:tcPr>
          <w:p w14:paraId="34A80056">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Y≥20000</w:t>
            </w:r>
          </w:p>
        </w:tc>
        <w:tc>
          <w:tcPr>
            <w:tcW w:w="1701" w:type="dxa"/>
            <w:noWrap w:val="0"/>
            <w:vAlign w:val="center"/>
          </w:tcPr>
          <w:p w14:paraId="40A3E538">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500≤Y＜20000</w:t>
            </w:r>
          </w:p>
        </w:tc>
        <w:tc>
          <w:tcPr>
            <w:tcW w:w="1426" w:type="dxa"/>
            <w:noWrap w:val="0"/>
            <w:vAlign w:val="center"/>
          </w:tcPr>
          <w:p w14:paraId="59D86BCC">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50≤Y＜500</w:t>
            </w:r>
          </w:p>
        </w:tc>
        <w:tc>
          <w:tcPr>
            <w:tcW w:w="992" w:type="dxa"/>
            <w:noWrap w:val="0"/>
            <w:vAlign w:val="center"/>
          </w:tcPr>
          <w:p w14:paraId="4BA8E53C">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Y＜50</w:t>
            </w:r>
          </w:p>
        </w:tc>
      </w:tr>
      <w:tr w14:paraId="131AF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16" w:type="dxa"/>
            <w:vMerge w:val="restart"/>
            <w:noWrap w:val="0"/>
            <w:vAlign w:val="center"/>
          </w:tcPr>
          <w:p w14:paraId="18A10423">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工业*</w:t>
            </w:r>
          </w:p>
        </w:tc>
        <w:tc>
          <w:tcPr>
            <w:tcW w:w="1600" w:type="dxa"/>
            <w:noWrap w:val="0"/>
            <w:vAlign w:val="center"/>
          </w:tcPr>
          <w:p w14:paraId="3482F309">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从业人员(X)</w:t>
            </w:r>
          </w:p>
        </w:tc>
        <w:tc>
          <w:tcPr>
            <w:tcW w:w="850" w:type="dxa"/>
            <w:noWrap w:val="0"/>
            <w:vAlign w:val="center"/>
          </w:tcPr>
          <w:p w14:paraId="27BE5639">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450" w:type="dxa"/>
            <w:noWrap w:val="0"/>
            <w:vAlign w:val="center"/>
          </w:tcPr>
          <w:p w14:paraId="760DF8A2">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X≥1000</w:t>
            </w:r>
          </w:p>
        </w:tc>
        <w:tc>
          <w:tcPr>
            <w:tcW w:w="1701" w:type="dxa"/>
            <w:noWrap w:val="0"/>
            <w:vAlign w:val="center"/>
          </w:tcPr>
          <w:p w14:paraId="6DF8F140">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300≤X＜1000</w:t>
            </w:r>
          </w:p>
        </w:tc>
        <w:tc>
          <w:tcPr>
            <w:tcW w:w="1426" w:type="dxa"/>
            <w:noWrap w:val="0"/>
            <w:vAlign w:val="center"/>
          </w:tcPr>
          <w:p w14:paraId="6FEAF4EB">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20≤X＜300</w:t>
            </w:r>
          </w:p>
        </w:tc>
        <w:tc>
          <w:tcPr>
            <w:tcW w:w="992" w:type="dxa"/>
            <w:noWrap w:val="0"/>
            <w:vAlign w:val="center"/>
          </w:tcPr>
          <w:p w14:paraId="3FDAB1B1">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X＜20</w:t>
            </w:r>
          </w:p>
        </w:tc>
      </w:tr>
      <w:tr w14:paraId="36C38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exact"/>
          <w:jc w:val="center"/>
        </w:trPr>
        <w:tc>
          <w:tcPr>
            <w:tcW w:w="1416" w:type="dxa"/>
            <w:vMerge w:val="continue"/>
            <w:noWrap w:val="0"/>
            <w:vAlign w:val="center"/>
          </w:tcPr>
          <w:p w14:paraId="5812AC1C">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p>
        </w:tc>
        <w:tc>
          <w:tcPr>
            <w:tcW w:w="1600" w:type="dxa"/>
            <w:noWrap w:val="0"/>
            <w:vAlign w:val="center"/>
          </w:tcPr>
          <w:p w14:paraId="74D6F0FA">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营业收入(Y)</w:t>
            </w:r>
          </w:p>
        </w:tc>
        <w:tc>
          <w:tcPr>
            <w:tcW w:w="850" w:type="dxa"/>
            <w:noWrap w:val="0"/>
            <w:vAlign w:val="center"/>
          </w:tcPr>
          <w:p w14:paraId="4ADDDB8D">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万元</w:t>
            </w:r>
          </w:p>
        </w:tc>
        <w:tc>
          <w:tcPr>
            <w:tcW w:w="1450" w:type="dxa"/>
            <w:noWrap w:val="0"/>
            <w:vAlign w:val="center"/>
          </w:tcPr>
          <w:p w14:paraId="29107197">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Y≥40000</w:t>
            </w:r>
          </w:p>
        </w:tc>
        <w:tc>
          <w:tcPr>
            <w:tcW w:w="1701" w:type="dxa"/>
            <w:noWrap w:val="0"/>
            <w:vAlign w:val="center"/>
          </w:tcPr>
          <w:p w14:paraId="4AEA9768">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2000≤Y＜40000</w:t>
            </w:r>
          </w:p>
        </w:tc>
        <w:tc>
          <w:tcPr>
            <w:tcW w:w="1426" w:type="dxa"/>
            <w:noWrap w:val="0"/>
            <w:vAlign w:val="center"/>
          </w:tcPr>
          <w:p w14:paraId="78EA9D8C">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300≤Y＜2000</w:t>
            </w:r>
          </w:p>
        </w:tc>
        <w:tc>
          <w:tcPr>
            <w:tcW w:w="992" w:type="dxa"/>
            <w:noWrap w:val="0"/>
            <w:vAlign w:val="center"/>
          </w:tcPr>
          <w:p w14:paraId="1B94AD44">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Y＜300</w:t>
            </w:r>
          </w:p>
        </w:tc>
      </w:tr>
      <w:tr w14:paraId="13214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exact"/>
          <w:jc w:val="center"/>
        </w:trPr>
        <w:tc>
          <w:tcPr>
            <w:tcW w:w="1416" w:type="dxa"/>
            <w:vMerge w:val="restart"/>
            <w:noWrap w:val="0"/>
            <w:vAlign w:val="center"/>
          </w:tcPr>
          <w:p w14:paraId="2CD22C7D">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建筑业</w:t>
            </w:r>
          </w:p>
        </w:tc>
        <w:tc>
          <w:tcPr>
            <w:tcW w:w="1600" w:type="dxa"/>
            <w:noWrap w:val="0"/>
            <w:vAlign w:val="center"/>
          </w:tcPr>
          <w:p w14:paraId="7148DD8A">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营业收入(Y)</w:t>
            </w:r>
          </w:p>
        </w:tc>
        <w:tc>
          <w:tcPr>
            <w:tcW w:w="850" w:type="dxa"/>
            <w:noWrap w:val="0"/>
            <w:vAlign w:val="center"/>
          </w:tcPr>
          <w:p w14:paraId="6C89BE1D">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万元</w:t>
            </w:r>
          </w:p>
        </w:tc>
        <w:tc>
          <w:tcPr>
            <w:tcW w:w="1450" w:type="dxa"/>
            <w:noWrap w:val="0"/>
            <w:vAlign w:val="center"/>
          </w:tcPr>
          <w:p w14:paraId="779E9BC7">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Y≥80000</w:t>
            </w:r>
          </w:p>
        </w:tc>
        <w:tc>
          <w:tcPr>
            <w:tcW w:w="1701" w:type="dxa"/>
            <w:noWrap w:val="0"/>
            <w:vAlign w:val="center"/>
          </w:tcPr>
          <w:p w14:paraId="6F12C5F8">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6000≤Y＜80000</w:t>
            </w:r>
          </w:p>
        </w:tc>
        <w:tc>
          <w:tcPr>
            <w:tcW w:w="1426" w:type="dxa"/>
            <w:noWrap w:val="0"/>
            <w:vAlign w:val="center"/>
          </w:tcPr>
          <w:p w14:paraId="6561B1F1">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300≤Y＜6000</w:t>
            </w:r>
          </w:p>
        </w:tc>
        <w:tc>
          <w:tcPr>
            <w:tcW w:w="992" w:type="dxa"/>
            <w:noWrap w:val="0"/>
            <w:vAlign w:val="center"/>
          </w:tcPr>
          <w:p w14:paraId="0798AE14">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Y＜300</w:t>
            </w:r>
          </w:p>
        </w:tc>
      </w:tr>
      <w:tr w14:paraId="20C98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jc w:val="center"/>
        </w:trPr>
        <w:tc>
          <w:tcPr>
            <w:tcW w:w="1416" w:type="dxa"/>
            <w:vMerge w:val="continue"/>
            <w:noWrap w:val="0"/>
            <w:vAlign w:val="center"/>
          </w:tcPr>
          <w:p w14:paraId="6A7E491F">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p>
        </w:tc>
        <w:tc>
          <w:tcPr>
            <w:tcW w:w="1600" w:type="dxa"/>
            <w:noWrap w:val="0"/>
            <w:vAlign w:val="center"/>
          </w:tcPr>
          <w:p w14:paraId="3AAF173E">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资产总额(Z)</w:t>
            </w:r>
          </w:p>
        </w:tc>
        <w:tc>
          <w:tcPr>
            <w:tcW w:w="850" w:type="dxa"/>
            <w:noWrap w:val="0"/>
            <w:vAlign w:val="center"/>
          </w:tcPr>
          <w:p w14:paraId="3B81E45E">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万元</w:t>
            </w:r>
          </w:p>
        </w:tc>
        <w:tc>
          <w:tcPr>
            <w:tcW w:w="1450" w:type="dxa"/>
            <w:noWrap w:val="0"/>
            <w:vAlign w:val="center"/>
          </w:tcPr>
          <w:p w14:paraId="2CABE979">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Z≥80000</w:t>
            </w:r>
          </w:p>
        </w:tc>
        <w:tc>
          <w:tcPr>
            <w:tcW w:w="1701" w:type="dxa"/>
            <w:noWrap w:val="0"/>
            <w:vAlign w:val="center"/>
          </w:tcPr>
          <w:p w14:paraId="00B746D4">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5000≤Z＜80000</w:t>
            </w:r>
          </w:p>
        </w:tc>
        <w:tc>
          <w:tcPr>
            <w:tcW w:w="1426" w:type="dxa"/>
            <w:noWrap w:val="0"/>
            <w:vAlign w:val="center"/>
          </w:tcPr>
          <w:p w14:paraId="27FB51CB">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300≤Z＜5000</w:t>
            </w:r>
          </w:p>
        </w:tc>
        <w:tc>
          <w:tcPr>
            <w:tcW w:w="992" w:type="dxa"/>
            <w:noWrap w:val="0"/>
            <w:vAlign w:val="center"/>
          </w:tcPr>
          <w:p w14:paraId="28C7F082">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Z＜300</w:t>
            </w:r>
          </w:p>
        </w:tc>
      </w:tr>
      <w:tr w14:paraId="221F9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 w:hRule="exact"/>
          <w:jc w:val="center"/>
        </w:trPr>
        <w:tc>
          <w:tcPr>
            <w:tcW w:w="1416" w:type="dxa"/>
            <w:vMerge w:val="restart"/>
            <w:noWrap w:val="0"/>
            <w:vAlign w:val="center"/>
          </w:tcPr>
          <w:p w14:paraId="6C77F316">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批发业</w:t>
            </w:r>
          </w:p>
        </w:tc>
        <w:tc>
          <w:tcPr>
            <w:tcW w:w="1600" w:type="dxa"/>
            <w:noWrap w:val="0"/>
            <w:vAlign w:val="center"/>
          </w:tcPr>
          <w:p w14:paraId="1E48E493">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从业人员(X)</w:t>
            </w:r>
          </w:p>
        </w:tc>
        <w:tc>
          <w:tcPr>
            <w:tcW w:w="850" w:type="dxa"/>
            <w:noWrap w:val="0"/>
            <w:vAlign w:val="center"/>
          </w:tcPr>
          <w:p w14:paraId="0FCED446">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450" w:type="dxa"/>
            <w:noWrap w:val="0"/>
            <w:vAlign w:val="center"/>
          </w:tcPr>
          <w:p w14:paraId="1CCC0B11">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X≥200</w:t>
            </w:r>
          </w:p>
        </w:tc>
        <w:tc>
          <w:tcPr>
            <w:tcW w:w="1701" w:type="dxa"/>
            <w:noWrap w:val="0"/>
            <w:vAlign w:val="center"/>
          </w:tcPr>
          <w:p w14:paraId="580D8C9D">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20≤X＜200</w:t>
            </w:r>
          </w:p>
        </w:tc>
        <w:tc>
          <w:tcPr>
            <w:tcW w:w="1426" w:type="dxa"/>
            <w:noWrap w:val="0"/>
            <w:vAlign w:val="center"/>
          </w:tcPr>
          <w:p w14:paraId="53B2B3F2">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5≤X＜20</w:t>
            </w:r>
          </w:p>
        </w:tc>
        <w:tc>
          <w:tcPr>
            <w:tcW w:w="992" w:type="dxa"/>
            <w:noWrap w:val="0"/>
            <w:vAlign w:val="center"/>
          </w:tcPr>
          <w:p w14:paraId="38A53A8B">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X＜5</w:t>
            </w:r>
          </w:p>
        </w:tc>
      </w:tr>
      <w:tr w14:paraId="648D3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exact"/>
          <w:jc w:val="center"/>
        </w:trPr>
        <w:tc>
          <w:tcPr>
            <w:tcW w:w="1416" w:type="dxa"/>
            <w:vMerge w:val="continue"/>
            <w:noWrap w:val="0"/>
            <w:vAlign w:val="center"/>
          </w:tcPr>
          <w:p w14:paraId="1CDA25F1">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p>
        </w:tc>
        <w:tc>
          <w:tcPr>
            <w:tcW w:w="1600" w:type="dxa"/>
            <w:noWrap w:val="0"/>
            <w:vAlign w:val="center"/>
          </w:tcPr>
          <w:p w14:paraId="68B1E383">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营业收入(Y)</w:t>
            </w:r>
          </w:p>
        </w:tc>
        <w:tc>
          <w:tcPr>
            <w:tcW w:w="850" w:type="dxa"/>
            <w:noWrap w:val="0"/>
            <w:vAlign w:val="center"/>
          </w:tcPr>
          <w:p w14:paraId="4CB66069">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万元</w:t>
            </w:r>
          </w:p>
        </w:tc>
        <w:tc>
          <w:tcPr>
            <w:tcW w:w="1450" w:type="dxa"/>
            <w:noWrap w:val="0"/>
            <w:vAlign w:val="center"/>
          </w:tcPr>
          <w:p w14:paraId="46B83079">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Y≥40000</w:t>
            </w:r>
          </w:p>
        </w:tc>
        <w:tc>
          <w:tcPr>
            <w:tcW w:w="1701" w:type="dxa"/>
            <w:noWrap w:val="0"/>
            <w:vAlign w:val="center"/>
          </w:tcPr>
          <w:p w14:paraId="4663B195">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5000≤Y＜40000</w:t>
            </w:r>
          </w:p>
        </w:tc>
        <w:tc>
          <w:tcPr>
            <w:tcW w:w="1426" w:type="dxa"/>
            <w:noWrap w:val="0"/>
            <w:vAlign w:val="center"/>
          </w:tcPr>
          <w:p w14:paraId="77988907">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1000≤Y＜5000</w:t>
            </w:r>
          </w:p>
        </w:tc>
        <w:tc>
          <w:tcPr>
            <w:tcW w:w="992" w:type="dxa"/>
            <w:noWrap w:val="0"/>
            <w:vAlign w:val="center"/>
          </w:tcPr>
          <w:p w14:paraId="5543EE33">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Y＜1000</w:t>
            </w:r>
          </w:p>
        </w:tc>
      </w:tr>
      <w:tr w14:paraId="64E7F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exact"/>
          <w:jc w:val="center"/>
        </w:trPr>
        <w:tc>
          <w:tcPr>
            <w:tcW w:w="1416" w:type="dxa"/>
            <w:vMerge w:val="restart"/>
            <w:noWrap w:val="0"/>
            <w:vAlign w:val="center"/>
          </w:tcPr>
          <w:p w14:paraId="679B1BC3">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零售业</w:t>
            </w:r>
          </w:p>
        </w:tc>
        <w:tc>
          <w:tcPr>
            <w:tcW w:w="1600" w:type="dxa"/>
            <w:noWrap w:val="0"/>
            <w:vAlign w:val="center"/>
          </w:tcPr>
          <w:p w14:paraId="368614C5">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从业人员(X)</w:t>
            </w:r>
          </w:p>
        </w:tc>
        <w:tc>
          <w:tcPr>
            <w:tcW w:w="850" w:type="dxa"/>
            <w:noWrap w:val="0"/>
            <w:vAlign w:val="center"/>
          </w:tcPr>
          <w:p w14:paraId="6C723A64">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450" w:type="dxa"/>
            <w:noWrap w:val="0"/>
            <w:vAlign w:val="center"/>
          </w:tcPr>
          <w:p w14:paraId="1C48AE1A">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X≥300</w:t>
            </w:r>
          </w:p>
        </w:tc>
        <w:tc>
          <w:tcPr>
            <w:tcW w:w="1701" w:type="dxa"/>
            <w:noWrap w:val="0"/>
            <w:vAlign w:val="center"/>
          </w:tcPr>
          <w:p w14:paraId="4DD2C0AD">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50≤X＜300</w:t>
            </w:r>
          </w:p>
        </w:tc>
        <w:tc>
          <w:tcPr>
            <w:tcW w:w="1426" w:type="dxa"/>
            <w:noWrap w:val="0"/>
            <w:vAlign w:val="center"/>
          </w:tcPr>
          <w:p w14:paraId="753155F3">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10≤X＜50</w:t>
            </w:r>
          </w:p>
        </w:tc>
        <w:tc>
          <w:tcPr>
            <w:tcW w:w="992" w:type="dxa"/>
            <w:noWrap w:val="0"/>
            <w:vAlign w:val="center"/>
          </w:tcPr>
          <w:p w14:paraId="47BF43D5">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X＜10</w:t>
            </w:r>
          </w:p>
        </w:tc>
      </w:tr>
      <w:tr w14:paraId="0473B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exact"/>
          <w:jc w:val="center"/>
        </w:trPr>
        <w:tc>
          <w:tcPr>
            <w:tcW w:w="1416" w:type="dxa"/>
            <w:vMerge w:val="continue"/>
            <w:noWrap w:val="0"/>
            <w:vAlign w:val="center"/>
          </w:tcPr>
          <w:p w14:paraId="5C2705D7">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p>
        </w:tc>
        <w:tc>
          <w:tcPr>
            <w:tcW w:w="1600" w:type="dxa"/>
            <w:noWrap w:val="0"/>
            <w:vAlign w:val="center"/>
          </w:tcPr>
          <w:p w14:paraId="3E9C804F">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营业收入(Y)</w:t>
            </w:r>
          </w:p>
        </w:tc>
        <w:tc>
          <w:tcPr>
            <w:tcW w:w="850" w:type="dxa"/>
            <w:noWrap w:val="0"/>
            <w:vAlign w:val="center"/>
          </w:tcPr>
          <w:p w14:paraId="71029ED6">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万元</w:t>
            </w:r>
          </w:p>
        </w:tc>
        <w:tc>
          <w:tcPr>
            <w:tcW w:w="1450" w:type="dxa"/>
            <w:noWrap w:val="0"/>
            <w:vAlign w:val="center"/>
          </w:tcPr>
          <w:p w14:paraId="7B79434E">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Y≥20000</w:t>
            </w:r>
          </w:p>
        </w:tc>
        <w:tc>
          <w:tcPr>
            <w:tcW w:w="1701" w:type="dxa"/>
            <w:noWrap w:val="0"/>
            <w:vAlign w:val="center"/>
          </w:tcPr>
          <w:p w14:paraId="0C5B4E66">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500≤Y＜20000</w:t>
            </w:r>
          </w:p>
        </w:tc>
        <w:tc>
          <w:tcPr>
            <w:tcW w:w="1426" w:type="dxa"/>
            <w:noWrap w:val="0"/>
            <w:vAlign w:val="center"/>
          </w:tcPr>
          <w:p w14:paraId="642EE733">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100≤Y＜500</w:t>
            </w:r>
          </w:p>
        </w:tc>
        <w:tc>
          <w:tcPr>
            <w:tcW w:w="992" w:type="dxa"/>
            <w:noWrap w:val="0"/>
            <w:vAlign w:val="center"/>
          </w:tcPr>
          <w:p w14:paraId="3CB922F0">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Y＜100</w:t>
            </w:r>
          </w:p>
        </w:tc>
      </w:tr>
      <w:tr w14:paraId="359D5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exact"/>
          <w:jc w:val="center"/>
        </w:trPr>
        <w:tc>
          <w:tcPr>
            <w:tcW w:w="1416" w:type="dxa"/>
            <w:vMerge w:val="restart"/>
            <w:noWrap w:val="0"/>
            <w:vAlign w:val="center"/>
          </w:tcPr>
          <w:p w14:paraId="6396ACB2">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交通运输业*</w:t>
            </w:r>
          </w:p>
        </w:tc>
        <w:tc>
          <w:tcPr>
            <w:tcW w:w="1600" w:type="dxa"/>
            <w:noWrap w:val="0"/>
            <w:vAlign w:val="center"/>
          </w:tcPr>
          <w:p w14:paraId="5BD1BE4E">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从业人员(X)</w:t>
            </w:r>
          </w:p>
        </w:tc>
        <w:tc>
          <w:tcPr>
            <w:tcW w:w="850" w:type="dxa"/>
            <w:noWrap w:val="0"/>
            <w:vAlign w:val="center"/>
          </w:tcPr>
          <w:p w14:paraId="359D46B5">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450" w:type="dxa"/>
            <w:noWrap w:val="0"/>
            <w:vAlign w:val="center"/>
          </w:tcPr>
          <w:p w14:paraId="6C46566C">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X≥1000</w:t>
            </w:r>
          </w:p>
        </w:tc>
        <w:tc>
          <w:tcPr>
            <w:tcW w:w="1701" w:type="dxa"/>
            <w:noWrap w:val="0"/>
            <w:vAlign w:val="center"/>
          </w:tcPr>
          <w:p w14:paraId="27D28487">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300≤X＜1000</w:t>
            </w:r>
          </w:p>
        </w:tc>
        <w:tc>
          <w:tcPr>
            <w:tcW w:w="1426" w:type="dxa"/>
            <w:noWrap w:val="0"/>
            <w:vAlign w:val="center"/>
          </w:tcPr>
          <w:p w14:paraId="326D337F">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20≤X＜300</w:t>
            </w:r>
          </w:p>
        </w:tc>
        <w:tc>
          <w:tcPr>
            <w:tcW w:w="992" w:type="dxa"/>
            <w:noWrap w:val="0"/>
            <w:vAlign w:val="center"/>
          </w:tcPr>
          <w:p w14:paraId="51ECFF36">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X＜20</w:t>
            </w:r>
          </w:p>
        </w:tc>
      </w:tr>
      <w:tr w14:paraId="3BAF8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exact"/>
          <w:jc w:val="center"/>
        </w:trPr>
        <w:tc>
          <w:tcPr>
            <w:tcW w:w="1416" w:type="dxa"/>
            <w:vMerge w:val="continue"/>
            <w:noWrap w:val="0"/>
            <w:vAlign w:val="center"/>
          </w:tcPr>
          <w:p w14:paraId="4486BEEA">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p>
        </w:tc>
        <w:tc>
          <w:tcPr>
            <w:tcW w:w="1600" w:type="dxa"/>
            <w:noWrap w:val="0"/>
            <w:vAlign w:val="center"/>
          </w:tcPr>
          <w:p w14:paraId="1565BA51">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营业收入(Y)</w:t>
            </w:r>
          </w:p>
        </w:tc>
        <w:tc>
          <w:tcPr>
            <w:tcW w:w="850" w:type="dxa"/>
            <w:noWrap w:val="0"/>
            <w:vAlign w:val="center"/>
          </w:tcPr>
          <w:p w14:paraId="5FB34A0D">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万元</w:t>
            </w:r>
          </w:p>
        </w:tc>
        <w:tc>
          <w:tcPr>
            <w:tcW w:w="1450" w:type="dxa"/>
            <w:noWrap w:val="0"/>
            <w:vAlign w:val="center"/>
          </w:tcPr>
          <w:p w14:paraId="232DF2AB">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Y≥30000</w:t>
            </w:r>
          </w:p>
        </w:tc>
        <w:tc>
          <w:tcPr>
            <w:tcW w:w="1701" w:type="dxa"/>
            <w:noWrap w:val="0"/>
            <w:vAlign w:val="center"/>
          </w:tcPr>
          <w:p w14:paraId="01041FFC">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3000≤Y＜30000</w:t>
            </w:r>
          </w:p>
        </w:tc>
        <w:tc>
          <w:tcPr>
            <w:tcW w:w="1426" w:type="dxa"/>
            <w:noWrap w:val="0"/>
            <w:vAlign w:val="center"/>
          </w:tcPr>
          <w:p w14:paraId="267AF222">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200≤Y＜3000</w:t>
            </w:r>
          </w:p>
        </w:tc>
        <w:tc>
          <w:tcPr>
            <w:tcW w:w="992" w:type="dxa"/>
            <w:noWrap w:val="0"/>
            <w:vAlign w:val="center"/>
          </w:tcPr>
          <w:p w14:paraId="293F1FBE">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Y＜200</w:t>
            </w:r>
          </w:p>
        </w:tc>
      </w:tr>
      <w:tr w14:paraId="4B4DF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exact"/>
          <w:jc w:val="center"/>
        </w:trPr>
        <w:tc>
          <w:tcPr>
            <w:tcW w:w="1416" w:type="dxa"/>
            <w:vMerge w:val="restart"/>
            <w:noWrap w:val="0"/>
            <w:vAlign w:val="center"/>
          </w:tcPr>
          <w:p w14:paraId="2E5AA65C">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仓储业*</w:t>
            </w:r>
          </w:p>
        </w:tc>
        <w:tc>
          <w:tcPr>
            <w:tcW w:w="1600" w:type="dxa"/>
            <w:noWrap w:val="0"/>
            <w:vAlign w:val="center"/>
          </w:tcPr>
          <w:p w14:paraId="0D972C57">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从业人员(X)</w:t>
            </w:r>
          </w:p>
        </w:tc>
        <w:tc>
          <w:tcPr>
            <w:tcW w:w="850" w:type="dxa"/>
            <w:noWrap w:val="0"/>
            <w:vAlign w:val="center"/>
          </w:tcPr>
          <w:p w14:paraId="46A733DF">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450" w:type="dxa"/>
            <w:noWrap w:val="0"/>
            <w:vAlign w:val="center"/>
          </w:tcPr>
          <w:p w14:paraId="22DA8B40">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X≥200</w:t>
            </w:r>
          </w:p>
        </w:tc>
        <w:tc>
          <w:tcPr>
            <w:tcW w:w="1701" w:type="dxa"/>
            <w:noWrap w:val="0"/>
            <w:vAlign w:val="center"/>
          </w:tcPr>
          <w:p w14:paraId="65A5A892">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100≤X＜200</w:t>
            </w:r>
          </w:p>
        </w:tc>
        <w:tc>
          <w:tcPr>
            <w:tcW w:w="1426" w:type="dxa"/>
            <w:noWrap w:val="0"/>
            <w:vAlign w:val="center"/>
          </w:tcPr>
          <w:p w14:paraId="4565FC15">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20≤X＜100</w:t>
            </w:r>
          </w:p>
        </w:tc>
        <w:tc>
          <w:tcPr>
            <w:tcW w:w="992" w:type="dxa"/>
            <w:noWrap w:val="0"/>
            <w:vAlign w:val="center"/>
          </w:tcPr>
          <w:p w14:paraId="1384784E">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X＜20</w:t>
            </w:r>
          </w:p>
        </w:tc>
      </w:tr>
      <w:tr w14:paraId="37C04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exact"/>
          <w:jc w:val="center"/>
        </w:trPr>
        <w:tc>
          <w:tcPr>
            <w:tcW w:w="1416" w:type="dxa"/>
            <w:vMerge w:val="continue"/>
            <w:noWrap w:val="0"/>
            <w:vAlign w:val="center"/>
          </w:tcPr>
          <w:p w14:paraId="321DD983">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p>
        </w:tc>
        <w:tc>
          <w:tcPr>
            <w:tcW w:w="1600" w:type="dxa"/>
            <w:noWrap w:val="0"/>
            <w:vAlign w:val="center"/>
          </w:tcPr>
          <w:p w14:paraId="74FA72B6">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营业收入(Y)</w:t>
            </w:r>
          </w:p>
        </w:tc>
        <w:tc>
          <w:tcPr>
            <w:tcW w:w="850" w:type="dxa"/>
            <w:noWrap w:val="0"/>
            <w:vAlign w:val="center"/>
          </w:tcPr>
          <w:p w14:paraId="7C71B5E1">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万元</w:t>
            </w:r>
          </w:p>
        </w:tc>
        <w:tc>
          <w:tcPr>
            <w:tcW w:w="1450" w:type="dxa"/>
            <w:noWrap w:val="0"/>
            <w:vAlign w:val="center"/>
          </w:tcPr>
          <w:p w14:paraId="1288B324">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Y≥30000</w:t>
            </w:r>
          </w:p>
        </w:tc>
        <w:tc>
          <w:tcPr>
            <w:tcW w:w="1701" w:type="dxa"/>
            <w:noWrap w:val="0"/>
            <w:vAlign w:val="center"/>
          </w:tcPr>
          <w:p w14:paraId="1BDC3E3E">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1000≤Y＜30000</w:t>
            </w:r>
          </w:p>
        </w:tc>
        <w:tc>
          <w:tcPr>
            <w:tcW w:w="1426" w:type="dxa"/>
            <w:noWrap w:val="0"/>
            <w:vAlign w:val="center"/>
          </w:tcPr>
          <w:p w14:paraId="4F297620">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100≤Y＜1000</w:t>
            </w:r>
          </w:p>
        </w:tc>
        <w:tc>
          <w:tcPr>
            <w:tcW w:w="992" w:type="dxa"/>
            <w:noWrap w:val="0"/>
            <w:vAlign w:val="center"/>
          </w:tcPr>
          <w:p w14:paraId="3AB78769">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Y＜100</w:t>
            </w:r>
          </w:p>
        </w:tc>
      </w:tr>
      <w:tr w14:paraId="5E060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exact"/>
          <w:jc w:val="center"/>
        </w:trPr>
        <w:tc>
          <w:tcPr>
            <w:tcW w:w="1416" w:type="dxa"/>
            <w:vMerge w:val="restart"/>
            <w:noWrap w:val="0"/>
            <w:vAlign w:val="center"/>
          </w:tcPr>
          <w:p w14:paraId="58572893">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邮政业</w:t>
            </w:r>
          </w:p>
        </w:tc>
        <w:tc>
          <w:tcPr>
            <w:tcW w:w="1600" w:type="dxa"/>
            <w:noWrap w:val="0"/>
            <w:vAlign w:val="center"/>
          </w:tcPr>
          <w:p w14:paraId="6258C6B5">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从业人员(X)</w:t>
            </w:r>
          </w:p>
        </w:tc>
        <w:tc>
          <w:tcPr>
            <w:tcW w:w="850" w:type="dxa"/>
            <w:noWrap w:val="0"/>
            <w:vAlign w:val="center"/>
          </w:tcPr>
          <w:p w14:paraId="46987277">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450" w:type="dxa"/>
            <w:noWrap w:val="0"/>
            <w:vAlign w:val="center"/>
          </w:tcPr>
          <w:p w14:paraId="78F65F7F">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X≥1000</w:t>
            </w:r>
          </w:p>
        </w:tc>
        <w:tc>
          <w:tcPr>
            <w:tcW w:w="1701" w:type="dxa"/>
            <w:noWrap w:val="0"/>
            <w:vAlign w:val="center"/>
          </w:tcPr>
          <w:p w14:paraId="52692B4A">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300≤X＜1000</w:t>
            </w:r>
          </w:p>
        </w:tc>
        <w:tc>
          <w:tcPr>
            <w:tcW w:w="1426" w:type="dxa"/>
            <w:noWrap w:val="0"/>
            <w:vAlign w:val="center"/>
          </w:tcPr>
          <w:p w14:paraId="0FF5943A">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20≤X＜300</w:t>
            </w:r>
          </w:p>
        </w:tc>
        <w:tc>
          <w:tcPr>
            <w:tcW w:w="992" w:type="dxa"/>
            <w:noWrap w:val="0"/>
            <w:vAlign w:val="center"/>
          </w:tcPr>
          <w:p w14:paraId="32A4D011">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X＜20</w:t>
            </w:r>
          </w:p>
        </w:tc>
      </w:tr>
      <w:tr w14:paraId="4756E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exact"/>
          <w:jc w:val="center"/>
        </w:trPr>
        <w:tc>
          <w:tcPr>
            <w:tcW w:w="1416" w:type="dxa"/>
            <w:vMerge w:val="continue"/>
            <w:noWrap w:val="0"/>
            <w:vAlign w:val="center"/>
          </w:tcPr>
          <w:p w14:paraId="3F675850">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p>
        </w:tc>
        <w:tc>
          <w:tcPr>
            <w:tcW w:w="1600" w:type="dxa"/>
            <w:noWrap w:val="0"/>
            <w:vAlign w:val="center"/>
          </w:tcPr>
          <w:p w14:paraId="1EEC4E7E">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营业收入(Y)</w:t>
            </w:r>
          </w:p>
        </w:tc>
        <w:tc>
          <w:tcPr>
            <w:tcW w:w="850" w:type="dxa"/>
            <w:noWrap w:val="0"/>
            <w:vAlign w:val="center"/>
          </w:tcPr>
          <w:p w14:paraId="7F505024">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万元</w:t>
            </w:r>
          </w:p>
        </w:tc>
        <w:tc>
          <w:tcPr>
            <w:tcW w:w="1450" w:type="dxa"/>
            <w:noWrap w:val="0"/>
            <w:vAlign w:val="center"/>
          </w:tcPr>
          <w:p w14:paraId="2B25BF00">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Y≥30000</w:t>
            </w:r>
          </w:p>
        </w:tc>
        <w:tc>
          <w:tcPr>
            <w:tcW w:w="1701" w:type="dxa"/>
            <w:noWrap w:val="0"/>
            <w:vAlign w:val="center"/>
          </w:tcPr>
          <w:p w14:paraId="5069C359">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2000≤Y＜30000</w:t>
            </w:r>
          </w:p>
        </w:tc>
        <w:tc>
          <w:tcPr>
            <w:tcW w:w="1426" w:type="dxa"/>
            <w:noWrap w:val="0"/>
            <w:vAlign w:val="center"/>
          </w:tcPr>
          <w:p w14:paraId="2B39B033">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100≤Y＜2000</w:t>
            </w:r>
          </w:p>
        </w:tc>
        <w:tc>
          <w:tcPr>
            <w:tcW w:w="992" w:type="dxa"/>
            <w:noWrap w:val="0"/>
            <w:vAlign w:val="center"/>
          </w:tcPr>
          <w:p w14:paraId="2F265DFF">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Y＜100</w:t>
            </w:r>
          </w:p>
        </w:tc>
      </w:tr>
      <w:tr w14:paraId="26C3D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exact"/>
          <w:jc w:val="center"/>
        </w:trPr>
        <w:tc>
          <w:tcPr>
            <w:tcW w:w="1416" w:type="dxa"/>
            <w:vMerge w:val="restart"/>
            <w:noWrap w:val="0"/>
            <w:vAlign w:val="center"/>
          </w:tcPr>
          <w:p w14:paraId="150F88CA">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住宿业</w:t>
            </w:r>
          </w:p>
        </w:tc>
        <w:tc>
          <w:tcPr>
            <w:tcW w:w="1600" w:type="dxa"/>
            <w:noWrap w:val="0"/>
            <w:vAlign w:val="center"/>
          </w:tcPr>
          <w:p w14:paraId="41C3C1FB">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从业人员(X)</w:t>
            </w:r>
          </w:p>
        </w:tc>
        <w:tc>
          <w:tcPr>
            <w:tcW w:w="850" w:type="dxa"/>
            <w:noWrap w:val="0"/>
            <w:vAlign w:val="center"/>
          </w:tcPr>
          <w:p w14:paraId="4FACB0CC">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450" w:type="dxa"/>
            <w:noWrap w:val="0"/>
            <w:vAlign w:val="center"/>
          </w:tcPr>
          <w:p w14:paraId="2711CC90">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X≥300</w:t>
            </w:r>
          </w:p>
        </w:tc>
        <w:tc>
          <w:tcPr>
            <w:tcW w:w="1701" w:type="dxa"/>
            <w:noWrap w:val="0"/>
            <w:vAlign w:val="center"/>
          </w:tcPr>
          <w:p w14:paraId="41EFF1CC">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100≤X＜300</w:t>
            </w:r>
          </w:p>
        </w:tc>
        <w:tc>
          <w:tcPr>
            <w:tcW w:w="1426" w:type="dxa"/>
            <w:noWrap w:val="0"/>
            <w:vAlign w:val="center"/>
          </w:tcPr>
          <w:p w14:paraId="0226657D">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10≤X＜100</w:t>
            </w:r>
          </w:p>
        </w:tc>
        <w:tc>
          <w:tcPr>
            <w:tcW w:w="992" w:type="dxa"/>
            <w:noWrap w:val="0"/>
            <w:vAlign w:val="center"/>
          </w:tcPr>
          <w:p w14:paraId="41149815">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X＜10</w:t>
            </w:r>
          </w:p>
        </w:tc>
      </w:tr>
      <w:tr w14:paraId="56F11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exact"/>
          <w:jc w:val="center"/>
        </w:trPr>
        <w:tc>
          <w:tcPr>
            <w:tcW w:w="1416" w:type="dxa"/>
            <w:vMerge w:val="continue"/>
            <w:noWrap w:val="0"/>
            <w:vAlign w:val="center"/>
          </w:tcPr>
          <w:p w14:paraId="1F327621">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p>
        </w:tc>
        <w:tc>
          <w:tcPr>
            <w:tcW w:w="1600" w:type="dxa"/>
            <w:noWrap w:val="0"/>
            <w:vAlign w:val="center"/>
          </w:tcPr>
          <w:p w14:paraId="43355C87">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营业收入(Y)</w:t>
            </w:r>
          </w:p>
        </w:tc>
        <w:tc>
          <w:tcPr>
            <w:tcW w:w="850" w:type="dxa"/>
            <w:noWrap w:val="0"/>
            <w:vAlign w:val="center"/>
          </w:tcPr>
          <w:p w14:paraId="51FA15FA">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万元</w:t>
            </w:r>
          </w:p>
        </w:tc>
        <w:tc>
          <w:tcPr>
            <w:tcW w:w="1450" w:type="dxa"/>
            <w:noWrap w:val="0"/>
            <w:vAlign w:val="center"/>
          </w:tcPr>
          <w:p w14:paraId="49C17DDB">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Y≥10000</w:t>
            </w:r>
          </w:p>
        </w:tc>
        <w:tc>
          <w:tcPr>
            <w:tcW w:w="1701" w:type="dxa"/>
            <w:noWrap w:val="0"/>
            <w:vAlign w:val="center"/>
          </w:tcPr>
          <w:p w14:paraId="405D082E">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2000≤Y＜10000</w:t>
            </w:r>
          </w:p>
        </w:tc>
        <w:tc>
          <w:tcPr>
            <w:tcW w:w="1426" w:type="dxa"/>
            <w:noWrap w:val="0"/>
            <w:vAlign w:val="center"/>
          </w:tcPr>
          <w:p w14:paraId="6C6EB0D6">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100≤Y＜2000</w:t>
            </w:r>
          </w:p>
        </w:tc>
        <w:tc>
          <w:tcPr>
            <w:tcW w:w="992" w:type="dxa"/>
            <w:noWrap w:val="0"/>
            <w:vAlign w:val="center"/>
          </w:tcPr>
          <w:p w14:paraId="6A3B2CDB">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Y＜100</w:t>
            </w:r>
          </w:p>
        </w:tc>
      </w:tr>
      <w:tr w14:paraId="4AF05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16" w:type="dxa"/>
            <w:vMerge w:val="restart"/>
            <w:noWrap w:val="0"/>
            <w:vAlign w:val="center"/>
          </w:tcPr>
          <w:p w14:paraId="2C4F1ECD">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餐饮业</w:t>
            </w:r>
          </w:p>
        </w:tc>
        <w:tc>
          <w:tcPr>
            <w:tcW w:w="1600" w:type="dxa"/>
            <w:noWrap w:val="0"/>
            <w:vAlign w:val="center"/>
          </w:tcPr>
          <w:p w14:paraId="4AB26553">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从业人员(X)</w:t>
            </w:r>
          </w:p>
        </w:tc>
        <w:tc>
          <w:tcPr>
            <w:tcW w:w="850" w:type="dxa"/>
            <w:noWrap w:val="0"/>
            <w:vAlign w:val="center"/>
          </w:tcPr>
          <w:p w14:paraId="7B585728">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450" w:type="dxa"/>
            <w:noWrap w:val="0"/>
            <w:vAlign w:val="center"/>
          </w:tcPr>
          <w:p w14:paraId="74C08A5D">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X≥300</w:t>
            </w:r>
          </w:p>
        </w:tc>
        <w:tc>
          <w:tcPr>
            <w:tcW w:w="1701" w:type="dxa"/>
            <w:noWrap w:val="0"/>
            <w:vAlign w:val="center"/>
          </w:tcPr>
          <w:p w14:paraId="45FB5C4B">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100≤X＜300</w:t>
            </w:r>
          </w:p>
        </w:tc>
        <w:tc>
          <w:tcPr>
            <w:tcW w:w="1426" w:type="dxa"/>
            <w:noWrap w:val="0"/>
            <w:vAlign w:val="center"/>
          </w:tcPr>
          <w:p w14:paraId="2DC9C09D">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10≤X＜100</w:t>
            </w:r>
          </w:p>
        </w:tc>
        <w:tc>
          <w:tcPr>
            <w:tcW w:w="992" w:type="dxa"/>
            <w:noWrap w:val="0"/>
            <w:vAlign w:val="center"/>
          </w:tcPr>
          <w:p w14:paraId="21166A37">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X＜10</w:t>
            </w:r>
          </w:p>
        </w:tc>
      </w:tr>
      <w:tr w14:paraId="14B6F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7" w:hRule="exact"/>
          <w:jc w:val="center"/>
        </w:trPr>
        <w:tc>
          <w:tcPr>
            <w:tcW w:w="1416" w:type="dxa"/>
            <w:vMerge w:val="continue"/>
            <w:noWrap w:val="0"/>
            <w:vAlign w:val="center"/>
          </w:tcPr>
          <w:p w14:paraId="0C3D1CBE">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p>
        </w:tc>
        <w:tc>
          <w:tcPr>
            <w:tcW w:w="1600" w:type="dxa"/>
            <w:noWrap w:val="0"/>
            <w:vAlign w:val="center"/>
          </w:tcPr>
          <w:p w14:paraId="0A0A7DBB">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营业收入(Y)</w:t>
            </w:r>
          </w:p>
        </w:tc>
        <w:tc>
          <w:tcPr>
            <w:tcW w:w="850" w:type="dxa"/>
            <w:noWrap w:val="0"/>
            <w:vAlign w:val="center"/>
          </w:tcPr>
          <w:p w14:paraId="79C563D0">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万元</w:t>
            </w:r>
          </w:p>
        </w:tc>
        <w:tc>
          <w:tcPr>
            <w:tcW w:w="1450" w:type="dxa"/>
            <w:noWrap w:val="0"/>
            <w:vAlign w:val="center"/>
          </w:tcPr>
          <w:p w14:paraId="59EF2821">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Y≥10000</w:t>
            </w:r>
          </w:p>
        </w:tc>
        <w:tc>
          <w:tcPr>
            <w:tcW w:w="1701" w:type="dxa"/>
            <w:noWrap w:val="0"/>
            <w:vAlign w:val="center"/>
          </w:tcPr>
          <w:p w14:paraId="291A0A09">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2000≤Y＜10000</w:t>
            </w:r>
          </w:p>
        </w:tc>
        <w:tc>
          <w:tcPr>
            <w:tcW w:w="1426" w:type="dxa"/>
            <w:noWrap w:val="0"/>
            <w:vAlign w:val="center"/>
          </w:tcPr>
          <w:p w14:paraId="7B84387A">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100≤Y＜2000</w:t>
            </w:r>
          </w:p>
        </w:tc>
        <w:tc>
          <w:tcPr>
            <w:tcW w:w="992" w:type="dxa"/>
            <w:noWrap w:val="0"/>
            <w:vAlign w:val="center"/>
          </w:tcPr>
          <w:p w14:paraId="682A7C28">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Y＜100</w:t>
            </w:r>
          </w:p>
        </w:tc>
      </w:tr>
      <w:tr w14:paraId="4A5D6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exact"/>
          <w:jc w:val="center"/>
        </w:trPr>
        <w:tc>
          <w:tcPr>
            <w:tcW w:w="1416" w:type="dxa"/>
            <w:vMerge w:val="restart"/>
            <w:noWrap w:val="0"/>
            <w:vAlign w:val="center"/>
          </w:tcPr>
          <w:p w14:paraId="6FB97A5F">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信息传输业*</w:t>
            </w:r>
          </w:p>
        </w:tc>
        <w:tc>
          <w:tcPr>
            <w:tcW w:w="1600" w:type="dxa"/>
            <w:noWrap w:val="0"/>
            <w:vAlign w:val="center"/>
          </w:tcPr>
          <w:p w14:paraId="7D979E5A">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从业人员(X)</w:t>
            </w:r>
          </w:p>
        </w:tc>
        <w:tc>
          <w:tcPr>
            <w:tcW w:w="850" w:type="dxa"/>
            <w:noWrap w:val="0"/>
            <w:vAlign w:val="center"/>
          </w:tcPr>
          <w:p w14:paraId="415DA4FE">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450" w:type="dxa"/>
            <w:noWrap w:val="0"/>
            <w:vAlign w:val="center"/>
          </w:tcPr>
          <w:p w14:paraId="08E5AD41">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X≥2000</w:t>
            </w:r>
          </w:p>
        </w:tc>
        <w:tc>
          <w:tcPr>
            <w:tcW w:w="1701" w:type="dxa"/>
            <w:noWrap w:val="0"/>
            <w:vAlign w:val="center"/>
          </w:tcPr>
          <w:p w14:paraId="070FC412">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100≤X＜2000</w:t>
            </w:r>
          </w:p>
        </w:tc>
        <w:tc>
          <w:tcPr>
            <w:tcW w:w="1426" w:type="dxa"/>
            <w:noWrap w:val="0"/>
            <w:vAlign w:val="center"/>
          </w:tcPr>
          <w:p w14:paraId="039A7795">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10≤X＜100</w:t>
            </w:r>
          </w:p>
        </w:tc>
        <w:tc>
          <w:tcPr>
            <w:tcW w:w="992" w:type="dxa"/>
            <w:noWrap w:val="0"/>
            <w:vAlign w:val="center"/>
          </w:tcPr>
          <w:p w14:paraId="23D26624">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X＜10</w:t>
            </w:r>
          </w:p>
        </w:tc>
      </w:tr>
      <w:tr w14:paraId="5430A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exact"/>
          <w:jc w:val="center"/>
        </w:trPr>
        <w:tc>
          <w:tcPr>
            <w:tcW w:w="1416" w:type="dxa"/>
            <w:vMerge w:val="continue"/>
            <w:noWrap w:val="0"/>
            <w:vAlign w:val="center"/>
          </w:tcPr>
          <w:p w14:paraId="7CF078FF">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p>
        </w:tc>
        <w:tc>
          <w:tcPr>
            <w:tcW w:w="1600" w:type="dxa"/>
            <w:noWrap w:val="0"/>
            <w:vAlign w:val="center"/>
          </w:tcPr>
          <w:p w14:paraId="758CB221">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营业收入(Y)</w:t>
            </w:r>
          </w:p>
        </w:tc>
        <w:tc>
          <w:tcPr>
            <w:tcW w:w="850" w:type="dxa"/>
            <w:noWrap w:val="0"/>
            <w:vAlign w:val="center"/>
          </w:tcPr>
          <w:p w14:paraId="20781928">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万元</w:t>
            </w:r>
          </w:p>
        </w:tc>
        <w:tc>
          <w:tcPr>
            <w:tcW w:w="1450" w:type="dxa"/>
            <w:noWrap w:val="0"/>
            <w:vAlign w:val="center"/>
          </w:tcPr>
          <w:p w14:paraId="79F8977A">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Y≥100000</w:t>
            </w:r>
          </w:p>
        </w:tc>
        <w:tc>
          <w:tcPr>
            <w:tcW w:w="1701" w:type="dxa"/>
            <w:noWrap w:val="0"/>
            <w:vAlign w:val="center"/>
          </w:tcPr>
          <w:p w14:paraId="74786932">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1000≤Y＜100000</w:t>
            </w:r>
          </w:p>
        </w:tc>
        <w:tc>
          <w:tcPr>
            <w:tcW w:w="1426" w:type="dxa"/>
            <w:noWrap w:val="0"/>
            <w:vAlign w:val="center"/>
          </w:tcPr>
          <w:p w14:paraId="4062F65E">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100≤Y＜1000</w:t>
            </w:r>
          </w:p>
        </w:tc>
        <w:tc>
          <w:tcPr>
            <w:tcW w:w="992" w:type="dxa"/>
            <w:noWrap w:val="0"/>
            <w:vAlign w:val="center"/>
          </w:tcPr>
          <w:p w14:paraId="4113399F">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Y＜100</w:t>
            </w:r>
          </w:p>
        </w:tc>
      </w:tr>
      <w:tr w14:paraId="1B2CC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exact"/>
          <w:jc w:val="center"/>
        </w:trPr>
        <w:tc>
          <w:tcPr>
            <w:tcW w:w="1416" w:type="dxa"/>
            <w:vMerge w:val="restart"/>
            <w:noWrap w:val="0"/>
            <w:vAlign w:val="center"/>
          </w:tcPr>
          <w:p w14:paraId="2DE70E00">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软件和信息技术服务业</w:t>
            </w:r>
          </w:p>
        </w:tc>
        <w:tc>
          <w:tcPr>
            <w:tcW w:w="1600" w:type="dxa"/>
            <w:noWrap w:val="0"/>
            <w:vAlign w:val="center"/>
          </w:tcPr>
          <w:p w14:paraId="7272E4BC">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从业人员(X)</w:t>
            </w:r>
          </w:p>
        </w:tc>
        <w:tc>
          <w:tcPr>
            <w:tcW w:w="850" w:type="dxa"/>
            <w:noWrap w:val="0"/>
            <w:vAlign w:val="center"/>
          </w:tcPr>
          <w:p w14:paraId="587318CB">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450" w:type="dxa"/>
            <w:noWrap w:val="0"/>
            <w:vAlign w:val="center"/>
          </w:tcPr>
          <w:p w14:paraId="4A5DB823">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X≥300</w:t>
            </w:r>
          </w:p>
        </w:tc>
        <w:tc>
          <w:tcPr>
            <w:tcW w:w="1701" w:type="dxa"/>
            <w:noWrap w:val="0"/>
            <w:vAlign w:val="center"/>
          </w:tcPr>
          <w:p w14:paraId="17C54B00">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100≤X＜300</w:t>
            </w:r>
          </w:p>
        </w:tc>
        <w:tc>
          <w:tcPr>
            <w:tcW w:w="1426" w:type="dxa"/>
            <w:noWrap w:val="0"/>
            <w:vAlign w:val="center"/>
          </w:tcPr>
          <w:p w14:paraId="269AB2B8">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10≤X＜100</w:t>
            </w:r>
          </w:p>
        </w:tc>
        <w:tc>
          <w:tcPr>
            <w:tcW w:w="992" w:type="dxa"/>
            <w:noWrap w:val="0"/>
            <w:vAlign w:val="center"/>
          </w:tcPr>
          <w:p w14:paraId="60BA82CE">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X＜10</w:t>
            </w:r>
          </w:p>
        </w:tc>
      </w:tr>
      <w:tr w14:paraId="11DF8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exact"/>
          <w:jc w:val="center"/>
        </w:trPr>
        <w:tc>
          <w:tcPr>
            <w:tcW w:w="1416" w:type="dxa"/>
            <w:vMerge w:val="continue"/>
            <w:noWrap w:val="0"/>
            <w:vAlign w:val="center"/>
          </w:tcPr>
          <w:p w14:paraId="6F43D1EE">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p>
        </w:tc>
        <w:tc>
          <w:tcPr>
            <w:tcW w:w="1600" w:type="dxa"/>
            <w:noWrap w:val="0"/>
            <w:vAlign w:val="center"/>
          </w:tcPr>
          <w:p w14:paraId="298357D7">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营业收入(Y)</w:t>
            </w:r>
          </w:p>
        </w:tc>
        <w:tc>
          <w:tcPr>
            <w:tcW w:w="850" w:type="dxa"/>
            <w:noWrap w:val="0"/>
            <w:vAlign w:val="center"/>
          </w:tcPr>
          <w:p w14:paraId="66673E39">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万元</w:t>
            </w:r>
          </w:p>
        </w:tc>
        <w:tc>
          <w:tcPr>
            <w:tcW w:w="1450" w:type="dxa"/>
            <w:noWrap w:val="0"/>
            <w:vAlign w:val="center"/>
          </w:tcPr>
          <w:p w14:paraId="363A0C45">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Y≥10000</w:t>
            </w:r>
          </w:p>
        </w:tc>
        <w:tc>
          <w:tcPr>
            <w:tcW w:w="1701" w:type="dxa"/>
            <w:noWrap w:val="0"/>
            <w:vAlign w:val="center"/>
          </w:tcPr>
          <w:p w14:paraId="2D46EF1D">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1000≤Y＜10000</w:t>
            </w:r>
          </w:p>
        </w:tc>
        <w:tc>
          <w:tcPr>
            <w:tcW w:w="1426" w:type="dxa"/>
            <w:noWrap w:val="0"/>
            <w:vAlign w:val="center"/>
          </w:tcPr>
          <w:p w14:paraId="1B6FBF11">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50≤Y＜1000</w:t>
            </w:r>
          </w:p>
        </w:tc>
        <w:tc>
          <w:tcPr>
            <w:tcW w:w="992" w:type="dxa"/>
            <w:noWrap w:val="0"/>
            <w:vAlign w:val="center"/>
          </w:tcPr>
          <w:p w14:paraId="21EE234F">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Y＜50</w:t>
            </w:r>
          </w:p>
        </w:tc>
      </w:tr>
      <w:tr w14:paraId="150E2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exact"/>
          <w:jc w:val="center"/>
        </w:trPr>
        <w:tc>
          <w:tcPr>
            <w:tcW w:w="1416" w:type="dxa"/>
            <w:vMerge w:val="restart"/>
            <w:noWrap w:val="0"/>
            <w:vAlign w:val="center"/>
          </w:tcPr>
          <w:p w14:paraId="5ADEB0F4">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房地产开发经营</w:t>
            </w:r>
          </w:p>
        </w:tc>
        <w:tc>
          <w:tcPr>
            <w:tcW w:w="1600" w:type="dxa"/>
            <w:noWrap w:val="0"/>
            <w:vAlign w:val="center"/>
          </w:tcPr>
          <w:p w14:paraId="010E6808">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营业收入(Y)</w:t>
            </w:r>
          </w:p>
        </w:tc>
        <w:tc>
          <w:tcPr>
            <w:tcW w:w="850" w:type="dxa"/>
            <w:noWrap w:val="0"/>
            <w:vAlign w:val="center"/>
          </w:tcPr>
          <w:p w14:paraId="6B1540EB">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万元</w:t>
            </w:r>
          </w:p>
        </w:tc>
        <w:tc>
          <w:tcPr>
            <w:tcW w:w="1450" w:type="dxa"/>
            <w:noWrap w:val="0"/>
            <w:vAlign w:val="center"/>
          </w:tcPr>
          <w:p w14:paraId="7A948AD0">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Y≥200000</w:t>
            </w:r>
          </w:p>
        </w:tc>
        <w:tc>
          <w:tcPr>
            <w:tcW w:w="1701" w:type="dxa"/>
            <w:noWrap w:val="0"/>
            <w:vAlign w:val="center"/>
          </w:tcPr>
          <w:p w14:paraId="7DA91ADB">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1000≤Y＜200000</w:t>
            </w:r>
          </w:p>
        </w:tc>
        <w:tc>
          <w:tcPr>
            <w:tcW w:w="1426" w:type="dxa"/>
            <w:noWrap w:val="0"/>
            <w:vAlign w:val="center"/>
          </w:tcPr>
          <w:p w14:paraId="4F33C32B">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100≤Y＜1000</w:t>
            </w:r>
          </w:p>
        </w:tc>
        <w:tc>
          <w:tcPr>
            <w:tcW w:w="992" w:type="dxa"/>
            <w:noWrap w:val="0"/>
            <w:vAlign w:val="center"/>
          </w:tcPr>
          <w:p w14:paraId="3A7E41BD">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Y＜100</w:t>
            </w:r>
          </w:p>
        </w:tc>
      </w:tr>
      <w:tr w14:paraId="61C2C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exact"/>
          <w:jc w:val="center"/>
        </w:trPr>
        <w:tc>
          <w:tcPr>
            <w:tcW w:w="1416" w:type="dxa"/>
            <w:vMerge w:val="continue"/>
            <w:noWrap w:val="0"/>
            <w:vAlign w:val="center"/>
          </w:tcPr>
          <w:p w14:paraId="6B657859">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p>
        </w:tc>
        <w:tc>
          <w:tcPr>
            <w:tcW w:w="1600" w:type="dxa"/>
            <w:noWrap w:val="0"/>
            <w:vAlign w:val="center"/>
          </w:tcPr>
          <w:p w14:paraId="4A372B2C">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资产总额(Z)</w:t>
            </w:r>
          </w:p>
        </w:tc>
        <w:tc>
          <w:tcPr>
            <w:tcW w:w="850" w:type="dxa"/>
            <w:noWrap w:val="0"/>
            <w:vAlign w:val="center"/>
          </w:tcPr>
          <w:p w14:paraId="3662A640">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万元</w:t>
            </w:r>
          </w:p>
        </w:tc>
        <w:tc>
          <w:tcPr>
            <w:tcW w:w="1450" w:type="dxa"/>
            <w:noWrap w:val="0"/>
            <w:vAlign w:val="center"/>
          </w:tcPr>
          <w:p w14:paraId="68F6A387">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Z≥10000</w:t>
            </w:r>
          </w:p>
        </w:tc>
        <w:tc>
          <w:tcPr>
            <w:tcW w:w="1701" w:type="dxa"/>
            <w:noWrap w:val="0"/>
            <w:vAlign w:val="center"/>
          </w:tcPr>
          <w:p w14:paraId="553757BD">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5000≤Z＜10000</w:t>
            </w:r>
          </w:p>
        </w:tc>
        <w:tc>
          <w:tcPr>
            <w:tcW w:w="1426" w:type="dxa"/>
            <w:noWrap w:val="0"/>
            <w:vAlign w:val="center"/>
          </w:tcPr>
          <w:p w14:paraId="1AEB78AB">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2000≤Z＜5000</w:t>
            </w:r>
          </w:p>
        </w:tc>
        <w:tc>
          <w:tcPr>
            <w:tcW w:w="992" w:type="dxa"/>
            <w:noWrap w:val="0"/>
            <w:vAlign w:val="center"/>
          </w:tcPr>
          <w:p w14:paraId="78B2A83D">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Z＜2000</w:t>
            </w:r>
          </w:p>
        </w:tc>
      </w:tr>
      <w:tr w14:paraId="0657D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exact"/>
          <w:jc w:val="center"/>
        </w:trPr>
        <w:tc>
          <w:tcPr>
            <w:tcW w:w="1416" w:type="dxa"/>
            <w:vMerge w:val="restart"/>
            <w:noWrap w:val="0"/>
            <w:vAlign w:val="center"/>
          </w:tcPr>
          <w:p w14:paraId="2084E40B">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物业管理</w:t>
            </w:r>
          </w:p>
        </w:tc>
        <w:tc>
          <w:tcPr>
            <w:tcW w:w="1600" w:type="dxa"/>
            <w:noWrap w:val="0"/>
            <w:vAlign w:val="center"/>
          </w:tcPr>
          <w:p w14:paraId="069256A7">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从业人员(X)</w:t>
            </w:r>
          </w:p>
        </w:tc>
        <w:tc>
          <w:tcPr>
            <w:tcW w:w="850" w:type="dxa"/>
            <w:noWrap w:val="0"/>
            <w:vAlign w:val="center"/>
          </w:tcPr>
          <w:p w14:paraId="7E8ED020">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450" w:type="dxa"/>
            <w:noWrap w:val="0"/>
            <w:vAlign w:val="center"/>
          </w:tcPr>
          <w:p w14:paraId="7897ED01">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X≥1000</w:t>
            </w:r>
          </w:p>
        </w:tc>
        <w:tc>
          <w:tcPr>
            <w:tcW w:w="1701" w:type="dxa"/>
            <w:noWrap w:val="0"/>
            <w:vAlign w:val="center"/>
          </w:tcPr>
          <w:p w14:paraId="2C65C89E">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300≤X＜1000</w:t>
            </w:r>
          </w:p>
        </w:tc>
        <w:tc>
          <w:tcPr>
            <w:tcW w:w="1426" w:type="dxa"/>
            <w:noWrap w:val="0"/>
            <w:vAlign w:val="center"/>
          </w:tcPr>
          <w:p w14:paraId="321FC388">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100≤X＜300</w:t>
            </w:r>
          </w:p>
        </w:tc>
        <w:tc>
          <w:tcPr>
            <w:tcW w:w="992" w:type="dxa"/>
            <w:noWrap w:val="0"/>
            <w:vAlign w:val="center"/>
          </w:tcPr>
          <w:p w14:paraId="751BD496">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X＜100</w:t>
            </w:r>
          </w:p>
        </w:tc>
      </w:tr>
      <w:tr w14:paraId="7137D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exact"/>
          <w:jc w:val="center"/>
        </w:trPr>
        <w:tc>
          <w:tcPr>
            <w:tcW w:w="1416" w:type="dxa"/>
            <w:vMerge w:val="continue"/>
            <w:noWrap w:val="0"/>
            <w:vAlign w:val="center"/>
          </w:tcPr>
          <w:p w14:paraId="72D261F5">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p>
        </w:tc>
        <w:tc>
          <w:tcPr>
            <w:tcW w:w="1600" w:type="dxa"/>
            <w:noWrap w:val="0"/>
            <w:vAlign w:val="center"/>
          </w:tcPr>
          <w:p w14:paraId="4CD8FBFB">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营业收入(Y)</w:t>
            </w:r>
          </w:p>
        </w:tc>
        <w:tc>
          <w:tcPr>
            <w:tcW w:w="850" w:type="dxa"/>
            <w:noWrap w:val="0"/>
            <w:vAlign w:val="center"/>
          </w:tcPr>
          <w:p w14:paraId="30C619EC">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万元</w:t>
            </w:r>
          </w:p>
        </w:tc>
        <w:tc>
          <w:tcPr>
            <w:tcW w:w="1450" w:type="dxa"/>
            <w:noWrap w:val="0"/>
            <w:vAlign w:val="center"/>
          </w:tcPr>
          <w:p w14:paraId="0CCFE565">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Y≥5000</w:t>
            </w:r>
          </w:p>
        </w:tc>
        <w:tc>
          <w:tcPr>
            <w:tcW w:w="1701" w:type="dxa"/>
            <w:noWrap w:val="0"/>
            <w:vAlign w:val="center"/>
          </w:tcPr>
          <w:p w14:paraId="4E83DD36">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1000≤Y＜5000</w:t>
            </w:r>
          </w:p>
        </w:tc>
        <w:tc>
          <w:tcPr>
            <w:tcW w:w="1426" w:type="dxa"/>
            <w:noWrap w:val="0"/>
            <w:vAlign w:val="center"/>
          </w:tcPr>
          <w:p w14:paraId="2AB479D9">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500≤Y＜1000</w:t>
            </w:r>
          </w:p>
        </w:tc>
        <w:tc>
          <w:tcPr>
            <w:tcW w:w="992" w:type="dxa"/>
            <w:noWrap w:val="0"/>
            <w:vAlign w:val="center"/>
          </w:tcPr>
          <w:p w14:paraId="690450BF">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Y＜500</w:t>
            </w:r>
          </w:p>
        </w:tc>
      </w:tr>
      <w:tr w14:paraId="598C0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exact"/>
          <w:jc w:val="center"/>
        </w:trPr>
        <w:tc>
          <w:tcPr>
            <w:tcW w:w="1416" w:type="dxa"/>
            <w:vMerge w:val="restart"/>
            <w:noWrap w:val="0"/>
            <w:vAlign w:val="center"/>
          </w:tcPr>
          <w:p w14:paraId="74B4AD31">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租赁和商务服务业</w:t>
            </w:r>
          </w:p>
        </w:tc>
        <w:tc>
          <w:tcPr>
            <w:tcW w:w="1600" w:type="dxa"/>
            <w:noWrap w:val="0"/>
            <w:vAlign w:val="center"/>
          </w:tcPr>
          <w:p w14:paraId="0F35A323">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从业人员(X)</w:t>
            </w:r>
          </w:p>
        </w:tc>
        <w:tc>
          <w:tcPr>
            <w:tcW w:w="850" w:type="dxa"/>
            <w:noWrap w:val="0"/>
            <w:vAlign w:val="center"/>
          </w:tcPr>
          <w:p w14:paraId="3B0BF577">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450" w:type="dxa"/>
            <w:noWrap w:val="0"/>
            <w:vAlign w:val="center"/>
          </w:tcPr>
          <w:p w14:paraId="69C1F832">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X≥300</w:t>
            </w:r>
          </w:p>
        </w:tc>
        <w:tc>
          <w:tcPr>
            <w:tcW w:w="1701" w:type="dxa"/>
            <w:noWrap w:val="0"/>
            <w:vAlign w:val="center"/>
          </w:tcPr>
          <w:p w14:paraId="127EEF03">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100≤X＜300</w:t>
            </w:r>
          </w:p>
        </w:tc>
        <w:tc>
          <w:tcPr>
            <w:tcW w:w="1426" w:type="dxa"/>
            <w:noWrap w:val="0"/>
            <w:vAlign w:val="center"/>
          </w:tcPr>
          <w:p w14:paraId="06580E5B">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10≤X＜100</w:t>
            </w:r>
          </w:p>
        </w:tc>
        <w:tc>
          <w:tcPr>
            <w:tcW w:w="992" w:type="dxa"/>
            <w:noWrap w:val="0"/>
            <w:vAlign w:val="center"/>
          </w:tcPr>
          <w:p w14:paraId="6D05E169">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X＜10</w:t>
            </w:r>
          </w:p>
        </w:tc>
      </w:tr>
      <w:tr w14:paraId="41CA0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exact"/>
          <w:jc w:val="center"/>
        </w:trPr>
        <w:tc>
          <w:tcPr>
            <w:tcW w:w="1416" w:type="dxa"/>
            <w:vMerge w:val="continue"/>
            <w:noWrap w:val="0"/>
            <w:vAlign w:val="center"/>
          </w:tcPr>
          <w:p w14:paraId="12CE7FDB">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p>
        </w:tc>
        <w:tc>
          <w:tcPr>
            <w:tcW w:w="1600" w:type="dxa"/>
            <w:noWrap w:val="0"/>
            <w:vAlign w:val="center"/>
          </w:tcPr>
          <w:p w14:paraId="29A617B2">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资产总额(Z)</w:t>
            </w:r>
          </w:p>
        </w:tc>
        <w:tc>
          <w:tcPr>
            <w:tcW w:w="850" w:type="dxa"/>
            <w:noWrap w:val="0"/>
            <w:vAlign w:val="center"/>
          </w:tcPr>
          <w:p w14:paraId="595C7DD6">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万元</w:t>
            </w:r>
          </w:p>
        </w:tc>
        <w:tc>
          <w:tcPr>
            <w:tcW w:w="1450" w:type="dxa"/>
            <w:noWrap w:val="0"/>
            <w:vAlign w:val="center"/>
          </w:tcPr>
          <w:p w14:paraId="20BC7FF8">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Z≥120000</w:t>
            </w:r>
          </w:p>
        </w:tc>
        <w:tc>
          <w:tcPr>
            <w:tcW w:w="1701" w:type="dxa"/>
            <w:noWrap w:val="0"/>
            <w:vAlign w:val="center"/>
          </w:tcPr>
          <w:p w14:paraId="6DF4AC59">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8000≤Z＜120000</w:t>
            </w:r>
          </w:p>
        </w:tc>
        <w:tc>
          <w:tcPr>
            <w:tcW w:w="1426" w:type="dxa"/>
            <w:noWrap w:val="0"/>
            <w:vAlign w:val="center"/>
          </w:tcPr>
          <w:p w14:paraId="579859D0">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100≤Z＜8000</w:t>
            </w:r>
          </w:p>
        </w:tc>
        <w:tc>
          <w:tcPr>
            <w:tcW w:w="992" w:type="dxa"/>
            <w:noWrap w:val="0"/>
            <w:vAlign w:val="center"/>
          </w:tcPr>
          <w:p w14:paraId="4B6C6534">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Z＜100</w:t>
            </w:r>
          </w:p>
        </w:tc>
      </w:tr>
      <w:tr w14:paraId="5BB13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jc w:val="center"/>
        </w:trPr>
        <w:tc>
          <w:tcPr>
            <w:tcW w:w="1416" w:type="dxa"/>
            <w:noWrap w:val="0"/>
            <w:vAlign w:val="center"/>
          </w:tcPr>
          <w:p w14:paraId="300F46BF">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其他未列明行业*</w:t>
            </w:r>
          </w:p>
        </w:tc>
        <w:tc>
          <w:tcPr>
            <w:tcW w:w="1600" w:type="dxa"/>
            <w:noWrap w:val="0"/>
            <w:vAlign w:val="center"/>
          </w:tcPr>
          <w:p w14:paraId="328467E2">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从业人员(X)</w:t>
            </w:r>
          </w:p>
        </w:tc>
        <w:tc>
          <w:tcPr>
            <w:tcW w:w="850" w:type="dxa"/>
            <w:noWrap w:val="0"/>
            <w:vAlign w:val="center"/>
          </w:tcPr>
          <w:p w14:paraId="425741F5">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w:t>
            </w:r>
          </w:p>
        </w:tc>
        <w:tc>
          <w:tcPr>
            <w:tcW w:w="1450" w:type="dxa"/>
            <w:noWrap w:val="0"/>
            <w:vAlign w:val="center"/>
          </w:tcPr>
          <w:p w14:paraId="3CD2DBA8">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X≥300</w:t>
            </w:r>
          </w:p>
        </w:tc>
        <w:tc>
          <w:tcPr>
            <w:tcW w:w="1701" w:type="dxa"/>
            <w:noWrap w:val="0"/>
            <w:vAlign w:val="center"/>
          </w:tcPr>
          <w:p w14:paraId="39C7E5E2">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100≤X＜300</w:t>
            </w:r>
          </w:p>
        </w:tc>
        <w:tc>
          <w:tcPr>
            <w:tcW w:w="1426" w:type="dxa"/>
            <w:noWrap w:val="0"/>
            <w:vAlign w:val="center"/>
          </w:tcPr>
          <w:p w14:paraId="5747AF11">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10≤X＜100</w:t>
            </w:r>
          </w:p>
        </w:tc>
        <w:tc>
          <w:tcPr>
            <w:tcW w:w="992" w:type="dxa"/>
            <w:noWrap w:val="0"/>
            <w:vAlign w:val="center"/>
          </w:tcPr>
          <w:p w14:paraId="77D1FCC1">
            <w:pPr>
              <w:keepNext w:val="0"/>
              <w:keepLines w:val="0"/>
              <w:pageBreakBefore w:val="0"/>
              <w:widowControl w:val="0"/>
              <w:kinsoku/>
              <w:wordWrap w:val="0"/>
              <w:overflowPunct/>
              <w:topLinePunct/>
              <w:autoSpaceDE/>
              <w:autoSpaceDN/>
              <w:bidi w:val="0"/>
              <w:adjustRightInd/>
              <w:snapToGrid/>
              <w:spacing w:line="240" w:lineRule="auto"/>
              <w:ind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X＜10</w:t>
            </w:r>
          </w:p>
        </w:tc>
      </w:tr>
    </w:tbl>
    <w:p w14:paraId="16A63388">
      <w:pPr>
        <w:spacing w:line="288" w:lineRule="auto"/>
        <w:rPr>
          <w:rFonts w:ascii="宋体" w:hAnsi="宋体" w:cs="宋体"/>
          <w:color w:val="auto"/>
          <w:spacing w:val="8"/>
          <w:sz w:val="21"/>
          <w:szCs w:val="21"/>
          <w:highlight w:val="none"/>
        </w:rPr>
      </w:pPr>
      <w:r>
        <w:rPr>
          <w:rFonts w:hint="eastAsia" w:ascii="宋体" w:hAnsi="宋体" w:cs="宋体"/>
          <w:color w:val="auto"/>
          <w:spacing w:val="8"/>
          <w:sz w:val="21"/>
          <w:szCs w:val="21"/>
          <w:highlight w:val="none"/>
        </w:rPr>
        <w:t>说明：</w:t>
      </w:r>
    </w:p>
    <w:p w14:paraId="3E78E964">
      <w:pPr>
        <w:spacing w:line="288" w:lineRule="auto"/>
        <w:rPr>
          <w:rFonts w:ascii="宋体" w:hAnsi="宋体" w:cs="宋体"/>
          <w:color w:val="auto"/>
          <w:spacing w:val="8"/>
          <w:sz w:val="21"/>
          <w:szCs w:val="21"/>
          <w:highlight w:val="none"/>
        </w:rPr>
      </w:pPr>
      <w:r>
        <w:rPr>
          <w:rFonts w:hint="eastAsia" w:ascii="宋体" w:hAnsi="宋体" w:cs="宋体"/>
          <w:color w:val="auto"/>
          <w:spacing w:val="8"/>
          <w:sz w:val="21"/>
          <w:szCs w:val="21"/>
          <w:highlight w:val="none"/>
        </w:rPr>
        <w:t>　　1.大型、中型和小型企业须同时满足所列指标的下限，否则下划一档；微型企业只须满足所列指标中的一项即可。</w:t>
      </w:r>
    </w:p>
    <w:p w14:paraId="2F160FB1">
      <w:pPr>
        <w:spacing w:line="288" w:lineRule="auto"/>
        <w:ind w:firstLine="452"/>
        <w:rPr>
          <w:rFonts w:ascii="宋体" w:hAnsi="宋体" w:cs="宋体"/>
          <w:color w:val="auto"/>
          <w:spacing w:val="8"/>
          <w:sz w:val="21"/>
          <w:szCs w:val="21"/>
          <w:highlight w:val="none"/>
        </w:rPr>
      </w:pPr>
      <w:r>
        <w:rPr>
          <w:rFonts w:hint="eastAsia" w:ascii="宋体" w:hAnsi="宋体" w:cs="宋体"/>
          <w:color w:val="auto"/>
          <w:spacing w:val="8"/>
          <w:sz w:val="21"/>
          <w:szCs w:val="21"/>
          <w:highlight w:val="none"/>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5E20C1DD">
      <w:pPr>
        <w:spacing w:line="288" w:lineRule="auto"/>
        <w:ind w:firstLine="452"/>
        <w:rPr>
          <w:rFonts w:ascii="宋体" w:hAnsi="宋体" w:cs="宋体"/>
          <w:color w:val="auto"/>
          <w:spacing w:val="8"/>
          <w:sz w:val="21"/>
          <w:szCs w:val="21"/>
          <w:highlight w:val="none"/>
        </w:rPr>
      </w:pPr>
      <w:r>
        <w:rPr>
          <w:rFonts w:hint="eastAsia" w:ascii="宋体" w:hAnsi="宋体" w:cs="宋体"/>
          <w:color w:val="auto"/>
          <w:spacing w:val="8"/>
          <w:sz w:val="21"/>
          <w:szCs w:val="21"/>
          <w:highlight w:val="none"/>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1E81BFBB">
      <w:pPr>
        <w:spacing w:line="288" w:lineRule="auto"/>
        <w:rPr>
          <w:rFonts w:ascii="宋体" w:hAnsi="宋体" w:cs="宋体"/>
          <w:b/>
          <w:color w:val="auto"/>
          <w:spacing w:val="20"/>
          <w:sz w:val="21"/>
          <w:szCs w:val="21"/>
          <w:highlight w:val="none"/>
        </w:rPr>
      </w:pPr>
    </w:p>
    <w:p w14:paraId="6736D5DA">
      <w:pPr>
        <w:ind w:left="0" w:leftChars="0" w:firstLine="0" w:firstLineChars="0"/>
        <w:jc w:val="center"/>
        <w:rPr>
          <w:rFonts w:hint="eastAsia" w:ascii="宋体" w:hAnsi="宋体" w:eastAsia="宋体" w:cs="宋体"/>
          <w:b/>
          <w:bCs/>
          <w:color w:val="auto"/>
          <w:sz w:val="24"/>
          <w:szCs w:val="24"/>
          <w:highlight w:val="none"/>
        </w:rPr>
      </w:pPr>
      <w:r>
        <w:rPr>
          <w:rFonts w:ascii="宋体" w:hAnsi="宋体" w:cs="宋体"/>
          <w:color w:val="auto"/>
          <w:sz w:val="21"/>
          <w:szCs w:val="21"/>
          <w:highlight w:val="none"/>
        </w:rPr>
        <w:br w:type="page"/>
      </w:r>
      <w:r>
        <w:rPr>
          <w:rFonts w:hint="eastAsia" w:ascii="宋体" w:hAnsi="宋体" w:eastAsia="宋体" w:cs="宋体"/>
          <w:b/>
          <w:bCs/>
          <w:color w:val="auto"/>
          <w:sz w:val="24"/>
          <w:szCs w:val="24"/>
          <w:highlight w:val="none"/>
        </w:rPr>
        <w:t>国务院办公厅关于在政府采购中实施本国产品标准及相关政策的通知</w:t>
      </w:r>
    </w:p>
    <w:p w14:paraId="79C1A818">
      <w:pPr>
        <w:spacing w:line="360" w:lineRule="auto"/>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国办发〔2025〕34号</w:t>
      </w:r>
    </w:p>
    <w:p w14:paraId="677EC113">
      <w:pPr>
        <w:bidi w:val="0"/>
        <w:rPr>
          <w:rFonts w:hint="eastAsia"/>
          <w:color w:val="auto"/>
          <w:highlight w:val="none"/>
        </w:rPr>
      </w:pPr>
      <w:r>
        <w:rPr>
          <w:rFonts w:hint="eastAsia"/>
          <w:color w:val="auto"/>
          <w:highlight w:val="none"/>
        </w:rPr>
        <w:t>各省、自治区、直辖市人民政府，国务院各部委、各直属机构：</w:t>
      </w:r>
    </w:p>
    <w:p w14:paraId="1F922612">
      <w:pPr>
        <w:bidi w:val="0"/>
        <w:rPr>
          <w:rFonts w:hint="eastAsia"/>
          <w:color w:val="auto"/>
          <w:highlight w:val="none"/>
        </w:rPr>
      </w:pPr>
      <w:r>
        <w:rPr>
          <w:rFonts w:hint="eastAsia"/>
          <w:color w:val="auto"/>
          <w:highlight w:val="none"/>
        </w:rPr>
        <w:t>为构建统一开放、竞争有序的政府采购市场体系，完善政府采购制度，保障各类经营主体平等参与政府采购活动，根据《中华人民共和国政府采购法》、《中华人民共和国外商投资法》等有关法律法规规定，经国务院同意，现就在政府采购中实施本国产品标准及相关政策通知如下：</w:t>
      </w:r>
    </w:p>
    <w:p w14:paraId="7210EF3B">
      <w:pPr>
        <w:bidi w:val="0"/>
        <w:rPr>
          <w:rFonts w:hint="eastAsia"/>
          <w:color w:val="auto"/>
          <w:highlight w:val="none"/>
        </w:rPr>
      </w:pPr>
      <w:r>
        <w:rPr>
          <w:rFonts w:hint="eastAsia"/>
          <w:color w:val="auto"/>
          <w:highlight w:val="none"/>
        </w:rPr>
        <w:t>一、本国产品标准</w:t>
      </w:r>
    </w:p>
    <w:p w14:paraId="07886DDC">
      <w:pPr>
        <w:bidi w:val="0"/>
        <w:rPr>
          <w:rFonts w:hint="eastAsia"/>
          <w:color w:val="auto"/>
          <w:highlight w:val="none"/>
        </w:rPr>
      </w:pPr>
      <w:r>
        <w:rPr>
          <w:rFonts w:hint="eastAsia"/>
          <w:color w:val="auto"/>
          <w:highlight w:val="none"/>
        </w:rPr>
        <w:t>本国产品应当符合以下条件：</w:t>
      </w:r>
    </w:p>
    <w:p w14:paraId="6E2366BD">
      <w:pPr>
        <w:bidi w:val="0"/>
        <w:rPr>
          <w:rFonts w:hint="eastAsia"/>
          <w:color w:val="auto"/>
          <w:highlight w:val="none"/>
        </w:rPr>
      </w:pPr>
      <w:r>
        <w:rPr>
          <w:rFonts w:hint="eastAsia"/>
          <w:color w:val="auto"/>
          <w:highlight w:val="none"/>
        </w:rPr>
        <w:t>（一）在中国境内生产</w:t>
      </w:r>
    </w:p>
    <w:p w14:paraId="4D72AF89">
      <w:pPr>
        <w:bidi w:val="0"/>
        <w:rPr>
          <w:rFonts w:hint="eastAsia"/>
          <w:color w:val="auto"/>
          <w:highlight w:val="none"/>
        </w:rPr>
      </w:pPr>
      <w:r>
        <w:rPr>
          <w:rFonts w:hint="eastAsia"/>
          <w:color w:val="auto"/>
          <w:highlight w:val="none"/>
        </w:rPr>
        <w:t>产品应当在中国境内生产，即在中华人民共和国关境内实现从原材料、组件到产品的属性改变。</w:t>
      </w:r>
    </w:p>
    <w:p w14:paraId="2CAF5D0B">
      <w:pPr>
        <w:bidi w:val="0"/>
        <w:rPr>
          <w:rFonts w:hint="eastAsia"/>
          <w:color w:val="auto"/>
          <w:highlight w:val="none"/>
        </w:rPr>
      </w:pPr>
      <w:r>
        <w:rPr>
          <w:rFonts w:hint="eastAsia"/>
          <w:color w:val="auto"/>
          <w:highlight w:val="none"/>
        </w:rPr>
        <w:t>属性改变是指经过制造、加工或者组装等工序，产生完全不同于原材料、组件的新产品，并具有新的名称和特征（用途）。属性改变不包括以下细微操作：</w:t>
      </w:r>
    </w:p>
    <w:p w14:paraId="4B280F0A">
      <w:pPr>
        <w:bidi w:val="0"/>
        <w:rPr>
          <w:rFonts w:hint="eastAsia"/>
          <w:color w:val="auto"/>
          <w:highlight w:val="none"/>
        </w:rPr>
      </w:pPr>
      <w:r>
        <w:rPr>
          <w:rFonts w:hint="eastAsia"/>
          <w:color w:val="auto"/>
          <w:highlight w:val="none"/>
        </w:rPr>
        <w:t>1.为确保产品在运输或者储存期间保持某种状态而进行的操作；</w:t>
      </w:r>
    </w:p>
    <w:p w14:paraId="4C63AEE7">
      <w:pPr>
        <w:bidi w:val="0"/>
        <w:rPr>
          <w:rFonts w:hint="eastAsia"/>
          <w:color w:val="auto"/>
          <w:highlight w:val="none"/>
        </w:rPr>
      </w:pPr>
      <w:r>
        <w:rPr>
          <w:rFonts w:hint="eastAsia"/>
          <w:color w:val="auto"/>
          <w:highlight w:val="none"/>
        </w:rPr>
        <w:t>2.为产品运输或者销售进行的包装或者展示；</w:t>
      </w:r>
    </w:p>
    <w:p w14:paraId="78E87BF9">
      <w:pPr>
        <w:bidi w:val="0"/>
        <w:rPr>
          <w:rFonts w:hint="eastAsia"/>
          <w:color w:val="auto"/>
          <w:highlight w:val="none"/>
        </w:rPr>
      </w:pPr>
      <w:r>
        <w:rPr>
          <w:rFonts w:hint="eastAsia"/>
          <w:color w:val="auto"/>
          <w:highlight w:val="none"/>
        </w:rPr>
        <w:t>3.在产品或者其包装上粘贴或者印刷品牌、标志、标识以及其他用于区别的标记；</w:t>
      </w:r>
    </w:p>
    <w:p w14:paraId="79D268FA">
      <w:pPr>
        <w:bidi w:val="0"/>
        <w:rPr>
          <w:rFonts w:hint="eastAsia"/>
          <w:color w:val="auto"/>
          <w:highlight w:val="none"/>
        </w:rPr>
      </w:pPr>
      <w:r>
        <w:rPr>
          <w:rFonts w:hint="eastAsia"/>
          <w:color w:val="auto"/>
          <w:highlight w:val="none"/>
        </w:rPr>
        <w:t>4.简单的上漆、磨光和分装；</w:t>
      </w:r>
    </w:p>
    <w:p w14:paraId="02A9F43C">
      <w:pPr>
        <w:bidi w:val="0"/>
        <w:rPr>
          <w:rFonts w:hint="eastAsia"/>
          <w:color w:val="auto"/>
          <w:highlight w:val="none"/>
        </w:rPr>
      </w:pPr>
      <w:r>
        <w:rPr>
          <w:rFonts w:hint="eastAsia"/>
          <w:color w:val="auto"/>
          <w:highlight w:val="none"/>
        </w:rPr>
        <w:t>5.其他不属于属性改变的情形。</w:t>
      </w:r>
    </w:p>
    <w:p w14:paraId="46BFCB2A">
      <w:pPr>
        <w:bidi w:val="0"/>
        <w:rPr>
          <w:rFonts w:hint="eastAsia"/>
          <w:color w:val="auto"/>
          <w:highlight w:val="none"/>
        </w:rPr>
      </w:pPr>
      <w:r>
        <w:rPr>
          <w:rFonts w:hint="eastAsia"/>
          <w:color w:val="auto"/>
          <w:highlight w:val="none"/>
        </w:rPr>
        <w:t>（二）在中国境内生产的组件成本占比达到规定比例</w:t>
      </w:r>
    </w:p>
    <w:p w14:paraId="5C936715">
      <w:pPr>
        <w:bidi w:val="0"/>
        <w:rPr>
          <w:rFonts w:hint="eastAsia"/>
          <w:color w:val="auto"/>
          <w:highlight w:val="none"/>
        </w:rPr>
      </w:pPr>
      <w:r>
        <w:rPr>
          <w:rFonts w:hint="eastAsia"/>
          <w:color w:val="auto"/>
          <w:highlight w:val="none"/>
        </w:rPr>
        <w:t>产品在中国境内生产的组件成本占比应当达到规定比例，计算公式为：</w:t>
      </w:r>
    </w:p>
    <w:p w14:paraId="04D4D3F2">
      <w:pPr>
        <w:bidi w:val="0"/>
        <w:rPr>
          <w:rFonts w:hint="eastAsia"/>
          <w:color w:val="auto"/>
          <w:highlight w:val="none"/>
        </w:rPr>
      </w:pPr>
      <w:r>
        <w:rPr>
          <w:rFonts w:hint="eastAsia"/>
          <w:color w:val="auto"/>
          <w:highlight w:val="none"/>
        </w:rPr>
        <w:drawing>
          <wp:inline distT="0" distB="0" distL="114300" distR="114300">
            <wp:extent cx="4829175" cy="762000"/>
            <wp:effectExtent l="0" t="0" r="9525"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21"/>
                    <a:stretch>
                      <a:fillRect/>
                    </a:stretch>
                  </pic:blipFill>
                  <pic:spPr>
                    <a:xfrm>
                      <a:off x="0" y="0"/>
                      <a:ext cx="4829175" cy="762000"/>
                    </a:xfrm>
                    <a:prstGeom prst="rect">
                      <a:avLst/>
                    </a:prstGeom>
                    <a:noFill/>
                    <a:ln>
                      <a:noFill/>
                    </a:ln>
                  </pic:spPr>
                </pic:pic>
              </a:graphicData>
            </a:graphic>
          </wp:inline>
        </w:drawing>
      </w:r>
    </w:p>
    <w:p w14:paraId="171B18FE">
      <w:pPr>
        <w:bidi w:val="0"/>
        <w:rPr>
          <w:rFonts w:hint="eastAsia"/>
          <w:color w:val="auto"/>
          <w:highlight w:val="none"/>
        </w:rPr>
      </w:pPr>
      <w:r>
        <w:rPr>
          <w:rFonts w:hint="eastAsia"/>
          <w:color w:val="auto"/>
          <w:highlight w:val="none"/>
        </w:rPr>
        <w:t>财政部会同有关行业主管部门，分产品确定在中国境内生产的组件成本占比应当达到的规定比例。在分产品的中国境内生产的组件成本占比相关要求实施前，符合本通知第一条第（一）项条件的产品在政府采购活动中视同本国产品。</w:t>
      </w:r>
    </w:p>
    <w:p w14:paraId="40662B9B">
      <w:pPr>
        <w:bidi w:val="0"/>
        <w:rPr>
          <w:rFonts w:hint="eastAsia"/>
          <w:color w:val="auto"/>
          <w:highlight w:val="none"/>
        </w:rPr>
      </w:pPr>
      <w:r>
        <w:rPr>
          <w:rFonts w:hint="eastAsia"/>
          <w:color w:val="auto"/>
          <w:highlight w:val="none"/>
        </w:rPr>
        <w:t>（三）特定产品的关键组件、关键工序符合相关要求</w:t>
      </w:r>
    </w:p>
    <w:p w14:paraId="7F7A230A">
      <w:pPr>
        <w:bidi w:val="0"/>
        <w:rPr>
          <w:rFonts w:hint="eastAsia"/>
          <w:color w:val="auto"/>
          <w:highlight w:val="none"/>
        </w:rPr>
      </w:pPr>
      <w:r>
        <w:rPr>
          <w:rFonts w:hint="eastAsia"/>
          <w:color w:val="auto"/>
          <w:highlight w:val="none"/>
        </w:rPr>
        <w:t>对特定产品，在符合本通知第一条第（一）项和第（二）项条件的基础上，应当符合财政部会同有关行业主管部门确定的其关键组件、关键工序在中国境内生产、完成等要求。</w:t>
      </w:r>
    </w:p>
    <w:p w14:paraId="190A4DA4">
      <w:pPr>
        <w:bidi w:val="0"/>
        <w:rPr>
          <w:rFonts w:hint="eastAsia"/>
          <w:color w:val="auto"/>
          <w:highlight w:val="none"/>
        </w:rPr>
      </w:pPr>
      <w:r>
        <w:rPr>
          <w:rFonts w:hint="eastAsia"/>
          <w:color w:val="auto"/>
          <w:highlight w:val="none"/>
        </w:rPr>
        <w:t>财政部会同有关行业主管部门自本通知施行之日起5年内，在充分征求有关内外资企业、行业协会商会等方面意见的基础上，分类施策、稳妥推进，分产品确定在中国境内生产的组件成本占比要求，以及特定产品的关键组件、关键工序相关要求，并根据不同行业的发展情况，在出台具体产品相关要求时，设置3—5年过渡期，逐步建立政府采购中本国产品标准体系和动态调整机制。</w:t>
      </w:r>
    </w:p>
    <w:p w14:paraId="45E57858">
      <w:pPr>
        <w:bidi w:val="0"/>
        <w:rPr>
          <w:rFonts w:hint="eastAsia"/>
          <w:color w:val="auto"/>
          <w:highlight w:val="none"/>
        </w:rPr>
      </w:pPr>
      <w:r>
        <w:rPr>
          <w:rFonts w:hint="eastAsia"/>
          <w:color w:val="auto"/>
          <w:highlight w:val="none"/>
        </w:rPr>
        <w:t>二、本国产品标准的适用范围</w:t>
      </w:r>
    </w:p>
    <w:p w14:paraId="3898AD6D">
      <w:pPr>
        <w:bidi w:val="0"/>
        <w:rPr>
          <w:rFonts w:hint="eastAsia"/>
          <w:color w:val="auto"/>
          <w:highlight w:val="none"/>
        </w:rPr>
      </w:pPr>
      <w:r>
        <w:rPr>
          <w:rFonts w:hint="eastAsia"/>
          <w:color w:val="auto"/>
          <w:highlight w:val="none"/>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73963D82">
      <w:pPr>
        <w:bidi w:val="0"/>
        <w:rPr>
          <w:rFonts w:hint="eastAsia"/>
          <w:color w:val="auto"/>
          <w:highlight w:val="none"/>
        </w:rPr>
      </w:pPr>
      <w:r>
        <w:rPr>
          <w:rFonts w:hint="eastAsia"/>
          <w:color w:val="auto"/>
          <w:highlight w:val="none"/>
        </w:rPr>
        <w:t>三、对本国产品的支持政策</w:t>
      </w:r>
    </w:p>
    <w:p w14:paraId="0278C059">
      <w:pPr>
        <w:bidi w:val="0"/>
        <w:rPr>
          <w:rFonts w:hint="eastAsia"/>
          <w:color w:val="auto"/>
          <w:highlight w:val="none"/>
        </w:rPr>
      </w:pPr>
      <w:r>
        <w:rPr>
          <w:rFonts w:hint="eastAsia"/>
          <w:color w:val="auto"/>
          <w:highlight w:val="none"/>
        </w:rPr>
        <w:t>政府采购活动中既有本国产品又有非本国产品参与竞争的，依法对本国产品给予价格评审优惠，对本国产品的报价给予20%的价格扣除，用扣除后的价格参与评审。</w:t>
      </w:r>
    </w:p>
    <w:p w14:paraId="271ECC83">
      <w:pPr>
        <w:bidi w:val="0"/>
        <w:rPr>
          <w:rFonts w:hint="eastAsia"/>
          <w:color w:val="auto"/>
          <w:highlight w:val="none"/>
        </w:rPr>
      </w:pPr>
      <w:r>
        <w:rPr>
          <w:rFonts w:hint="eastAsia"/>
          <w:color w:val="auto"/>
          <w:highlight w:val="none"/>
        </w:rPr>
        <w:t>当采购项目或者采购包中含有多种产品，</w:t>
      </w:r>
      <w:r>
        <w:rPr>
          <w:rFonts w:hint="eastAsia"/>
          <w:color w:val="auto"/>
          <w:highlight w:val="none"/>
          <w:lang w:eastAsia="zh-CN"/>
        </w:rPr>
        <w:t>投标人</w:t>
      </w:r>
      <w:r>
        <w:rPr>
          <w:rFonts w:hint="eastAsia"/>
          <w:color w:val="auto"/>
          <w:highlight w:val="none"/>
        </w:rPr>
        <w:t>为该采购项目或者采购包提供的符合本国产品标准的产品成本之和占该</w:t>
      </w:r>
      <w:r>
        <w:rPr>
          <w:rFonts w:hint="eastAsia"/>
          <w:color w:val="auto"/>
          <w:highlight w:val="none"/>
          <w:lang w:eastAsia="zh-CN"/>
        </w:rPr>
        <w:t>投标人</w:t>
      </w:r>
      <w:r>
        <w:rPr>
          <w:rFonts w:hint="eastAsia"/>
          <w:color w:val="auto"/>
          <w:highlight w:val="none"/>
        </w:rPr>
        <w:t>提供的全部产品成本之和的比例达到80%以上时，依法对该</w:t>
      </w:r>
      <w:r>
        <w:rPr>
          <w:rFonts w:hint="eastAsia"/>
          <w:color w:val="auto"/>
          <w:highlight w:val="none"/>
          <w:lang w:eastAsia="zh-CN"/>
        </w:rPr>
        <w:t>投标人</w:t>
      </w:r>
      <w:r>
        <w:rPr>
          <w:rFonts w:hint="eastAsia"/>
          <w:color w:val="auto"/>
          <w:highlight w:val="none"/>
        </w:rPr>
        <w:t>提供的全部产品给予价格评审优惠，即对该</w:t>
      </w:r>
      <w:r>
        <w:rPr>
          <w:rFonts w:hint="eastAsia"/>
          <w:color w:val="auto"/>
          <w:highlight w:val="none"/>
          <w:lang w:eastAsia="zh-CN"/>
        </w:rPr>
        <w:t>投标人</w:t>
      </w:r>
      <w:r>
        <w:rPr>
          <w:rFonts w:hint="eastAsia"/>
          <w:color w:val="auto"/>
          <w:highlight w:val="none"/>
        </w:rPr>
        <w:t>提供的全部产品的总报价给予20%的价格扣除，用扣除后的价格参与评审。</w:t>
      </w:r>
    </w:p>
    <w:p w14:paraId="4839448D">
      <w:pPr>
        <w:bidi w:val="0"/>
        <w:rPr>
          <w:rFonts w:hint="eastAsia"/>
          <w:color w:val="auto"/>
          <w:highlight w:val="none"/>
        </w:rPr>
      </w:pPr>
      <w:r>
        <w:rPr>
          <w:rFonts w:hint="eastAsia"/>
          <w:color w:val="auto"/>
          <w:highlight w:val="none"/>
        </w:rPr>
        <w:t>四、政策执行要求</w:t>
      </w:r>
    </w:p>
    <w:p w14:paraId="492D054F">
      <w:pPr>
        <w:bidi w:val="0"/>
        <w:rPr>
          <w:rFonts w:hint="eastAsia"/>
          <w:color w:val="auto"/>
          <w:highlight w:val="none"/>
        </w:rPr>
      </w:pPr>
      <w:r>
        <w:rPr>
          <w:rFonts w:hint="eastAsia"/>
          <w:color w:val="auto"/>
          <w:highlight w:val="none"/>
        </w:rPr>
        <w:t>（一）产品在中国境内生产的组件成本核算规则。产品在中国境内生产的组件成本，按照《中国境内生产的组件成本核算基本规则》（见附件1）计算。</w:t>
      </w:r>
    </w:p>
    <w:p w14:paraId="422D4DEC">
      <w:pPr>
        <w:bidi w:val="0"/>
        <w:rPr>
          <w:rFonts w:hint="eastAsia"/>
          <w:color w:val="auto"/>
          <w:highlight w:val="none"/>
        </w:rPr>
      </w:pPr>
      <w:r>
        <w:rPr>
          <w:rFonts w:hint="eastAsia"/>
          <w:color w:val="auto"/>
          <w:highlight w:val="none"/>
        </w:rPr>
        <w:t>（二）有关证明文件。采购人、采购代理机构应当在采购文件中明确要求</w:t>
      </w:r>
      <w:r>
        <w:rPr>
          <w:rFonts w:hint="eastAsia"/>
          <w:color w:val="auto"/>
          <w:highlight w:val="none"/>
          <w:lang w:eastAsia="zh-CN"/>
        </w:rPr>
        <w:t>投标人</w:t>
      </w:r>
      <w:r>
        <w:rPr>
          <w:rFonts w:hint="eastAsia"/>
          <w:color w:val="auto"/>
          <w:highlight w:val="none"/>
        </w:rPr>
        <w:t>对其提供的产品出具《关于符合本国产品标准的声明函》（样式见附件2，以下简称《声明函》）或财政部会同有关部门规定的有关证明文件。出具符合要求的《声明函》或有关证明文件的，该产品视为本国产品，采购人、采购代理机构不得再要求</w:t>
      </w:r>
      <w:r>
        <w:rPr>
          <w:rFonts w:hint="eastAsia"/>
          <w:color w:val="auto"/>
          <w:highlight w:val="none"/>
          <w:lang w:eastAsia="zh-CN"/>
        </w:rPr>
        <w:t>投标人</w:t>
      </w:r>
      <w:r>
        <w:rPr>
          <w:rFonts w:hint="eastAsia"/>
          <w:color w:val="auto"/>
          <w:highlight w:val="none"/>
        </w:rPr>
        <w:t>提供其他证明材料。</w:t>
      </w:r>
      <w:r>
        <w:rPr>
          <w:rFonts w:hint="eastAsia"/>
          <w:color w:val="auto"/>
          <w:highlight w:val="none"/>
          <w:lang w:eastAsia="zh-CN"/>
        </w:rPr>
        <w:t>投标人</w:t>
      </w:r>
      <w:r>
        <w:rPr>
          <w:rFonts w:hint="eastAsia"/>
          <w:color w:val="auto"/>
          <w:highlight w:val="none"/>
        </w:rPr>
        <w:t>提供虚假《声明函》、虚假证明文件谋取中标、</w:t>
      </w:r>
      <w:r>
        <w:rPr>
          <w:rFonts w:hint="eastAsia"/>
          <w:color w:val="auto"/>
          <w:highlight w:val="none"/>
          <w:lang w:eastAsia="zh-CN"/>
        </w:rPr>
        <w:t>中标</w:t>
      </w:r>
      <w:r>
        <w:rPr>
          <w:rFonts w:hint="eastAsia"/>
          <w:color w:val="auto"/>
          <w:highlight w:val="none"/>
        </w:rPr>
        <w:t>的，依照《中华人民共和国政府采购法》等法律法规规定追究相应责任。</w:t>
      </w:r>
    </w:p>
    <w:p w14:paraId="0913D6CF">
      <w:pPr>
        <w:bidi w:val="0"/>
        <w:rPr>
          <w:rFonts w:hint="eastAsia"/>
          <w:color w:val="auto"/>
          <w:highlight w:val="none"/>
        </w:rPr>
      </w:pPr>
      <w:r>
        <w:rPr>
          <w:rFonts w:hint="eastAsia"/>
          <w:color w:val="auto"/>
          <w:highlight w:val="none"/>
        </w:rPr>
        <w:t>采购人、采购代理机构应当随中标、</w:t>
      </w:r>
      <w:r>
        <w:rPr>
          <w:rFonts w:hint="eastAsia"/>
          <w:color w:val="auto"/>
          <w:highlight w:val="none"/>
          <w:lang w:eastAsia="zh-CN"/>
        </w:rPr>
        <w:t>中标</w:t>
      </w:r>
      <w:r>
        <w:rPr>
          <w:rFonts w:hint="eastAsia"/>
          <w:color w:val="auto"/>
          <w:highlight w:val="none"/>
        </w:rPr>
        <w:t>结果同时公告中标、</w:t>
      </w:r>
      <w:r>
        <w:rPr>
          <w:rFonts w:hint="eastAsia"/>
          <w:color w:val="auto"/>
          <w:highlight w:val="none"/>
          <w:lang w:eastAsia="zh-CN"/>
        </w:rPr>
        <w:t>中标投标人</w:t>
      </w:r>
      <w:r>
        <w:rPr>
          <w:rFonts w:hint="eastAsia"/>
          <w:color w:val="auto"/>
          <w:highlight w:val="none"/>
        </w:rPr>
        <w:t>提供的《声明函》或有关证明文件。</w:t>
      </w:r>
    </w:p>
    <w:p w14:paraId="7EBE4288">
      <w:pPr>
        <w:bidi w:val="0"/>
        <w:rPr>
          <w:rFonts w:hint="eastAsia"/>
          <w:color w:val="auto"/>
          <w:highlight w:val="none"/>
        </w:rPr>
      </w:pPr>
      <w:r>
        <w:rPr>
          <w:rFonts w:hint="eastAsia"/>
          <w:color w:val="auto"/>
          <w:highlight w:val="none"/>
        </w:rPr>
        <w:t>（三）平等对待各类经营主体。国有企业、民营企业、外资企业等各类经营主体平等享受对本国产品的政府采购支持政策。采购人、采购代理机构在政府采购信息发布、</w:t>
      </w:r>
      <w:r>
        <w:rPr>
          <w:rFonts w:hint="eastAsia"/>
          <w:color w:val="auto"/>
          <w:highlight w:val="none"/>
          <w:lang w:eastAsia="zh-CN"/>
        </w:rPr>
        <w:t>投标人</w:t>
      </w:r>
      <w:r>
        <w:rPr>
          <w:rFonts w:hint="eastAsia"/>
          <w:color w:val="auto"/>
          <w:highlight w:val="none"/>
        </w:rPr>
        <w:t>资格条件确定和资格审查、评审标准等方面，要对各类经营主体一视同仁、平等对待，切实保障各类经营主体公平竞争。各地区、各部门要加强统筹协调，不得出台违反本通知规定的政策措施，在政府采购活动中不得指定品牌或者限制品牌注册地、所有者，不得以所有制形式、组织形式、股权结构、投资者国别以及其他不合理条件对</w:t>
      </w:r>
      <w:r>
        <w:rPr>
          <w:rFonts w:hint="eastAsia"/>
          <w:color w:val="auto"/>
          <w:highlight w:val="none"/>
          <w:lang w:eastAsia="zh-CN"/>
        </w:rPr>
        <w:t>投标人</w:t>
      </w:r>
      <w:r>
        <w:rPr>
          <w:rFonts w:hint="eastAsia"/>
          <w:color w:val="auto"/>
          <w:highlight w:val="none"/>
        </w:rPr>
        <w:t>实行差别待遇或者歧视待遇。</w:t>
      </w:r>
    </w:p>
    <w:p w14:paraId="078BDCE4">
      <w:pPr>
        <w:bidi w:val="0"/>
        <w:rPr>
          <w:rFonts w:hint="eastAsia"/>
          <w:color w:val="auto"/>
          <w:highlight w:val="none"/>
        </w:rPr>
      </w:pPr>
      <w:r>
        <w:rPr>
          <w:rFonts w:hint="eastAsia"/>
          <w:color w:val="auto"/>
          <w:highlight w:val="none"/>
        </w:rPr>
        <w:t>（四）中华人民共和国缔结或者共同参加的国际条约、协定对政府采购中本国产品政策另有规定的，按照有关条约、协定执行。</w:t>
      </w:r>
    </w:p>
    <w:p w14:paraId="101EAEAB">
      <w:pPr>
        <w:bidi w:val="0"/>
        <w:rPr>
          <w:rFonts w:hint="eastAsia"/>
          <w:color w:val="auto"/>
          <w:highlight w:val="none"/>
        </w:rPr>
      </w:pPr>
      <w:r>
        <w:rPr>
          <w:rFonts w:hint="eastAsia"/>
          <w:color w:val="auto"/>
          <w:highlight w:val="none"/>
        </w:rPr>
        <w:t>五、争议处理</w:t>
      </w:r>
    </w:p>
    <w:p w14:paraId="7A14D556">
      <w:pPr>
        <w:bidi w:val="0"/>
        <w:rPr>
          <w:rFonts w:hint="eastAsia"/>
          <w:color w:val="auto"/>
          <w:highlight w:val="none"/>
        </w:rPr>
      </w:pPr>
      <w:r>
        <w:rPr>
          <w:rFonts w:hint="eastAsia"/>
          <w:color w:val="auto"/>
          <w:highlight w:val="none"/>
        </w:rPr>
        <w:t>财政部门在政府采购投诉处理、监督检查中，对涉及本国产品标准争议事项的处理，按照政府采购相关法律法规规定等执行，必要时由有关部门或者专业机构对相关事项予以核实。各有关部门、专业机构及其工作人员对政府采购投诉处理、监督检查中知悉的商业秘密负有保密义务。</w:t>
      </w:r>
    </w:p>
    <w:p w14:paraId="763258DC">
      <w:pPr>
        <w:bidi w:val="0"/>
        <w:rPr>
          <w:rFonts w:hint="eastAsia"/>
          <w:color w:val="auto"/>
          <w:highlight w:val="none"/>
        </w:rPr>
      </w:pPr>
      <w:r>
        <w:rPr>
          <w:rFonts w:hint="eastAsia"/>
          <w:color w:val="auto"/>
          <w:highlight w:val="none"/>
        </w:rPr>
        <w:t>（一）政府采购投诉处理、监督检查中，对产品或组件是否在中国境内生产存在争议的，按照以下原则处理：</w:t>
      </w:r>
    </w:p>
    <w:p w14:paraId="54E4134F">
      <w:pPr>
        <w:bidi w:val="0"/>
        <w:rPr>
          <w:rFonts w:hint="eastAsia"/>
          <w:color w:val="auto"/>
          <w:highlight w:val="none"/>
        </w:rPr>
      </w:pPr>
      <w:r>
        <w:rPr>
          <w:rFonts w:hint="eastAsia"/>
          <w:color w:val="auto"/>
          <w:highlight w:val="none"/>
        </w:rPr>
        <w:t>1.对于组装类产品或组件，相关</w:t>
      </w:r>
      <w:r>
        <w:rPr>
          <w:rFonts w:hint="eastAsia"/>
          <w:color w:val="auto"/>
          <w:highlight w:val="none"/>
          <w:lang w:eastAsia="zh-CN"/>
        </w:rPr>
        <w:t>投标人</w:t>
      </w:r>
      <w:r>
        <w:rPr>
          <w:rFonts w:hint="eastAsia"/>
          <w:color w:val="auto"/>
          <w:highlight w:val="none"/>
        </w:rPr>
        <w:t>及制造商应当提供产品或组件的采购合同，进货记录，制造、加工、组装记录以及其他证明材料。上述证明材料能够证明产品或组件在中国境内生产的，相关产品或组件即可视为在中国境内生产。</w:t>
      </w:r>
    </w:p>
    <w:p w14:paraId="06226A4F">
      <w:pPr>
        <w:bidi w:val="0"/>
        <w:rPr>
          <w:rFonts w:hint="eastAsia"/>
          <w:color w:val="auto"/>
          <w:highlight w:val="none"/>
        </w:rPr>
      </w:pPr>
      <w:r>
        <w:rPr>
          <w:rFonts w:hint="eastAsia"/>
          <w:color w:val="auto"/>
          <w:highlight w:val="none"/>
        </w:rPr>
        <w:t>2.对于由原材料直接制造、加工形成的产品或组件，如钢材、陶瓷制品、玻璃等，相关</w:t>
      </w:r>
      <w:r>
        <w:rPr>
          <w:rFonts w:hint="eastAsia"/>
          <w:color w:val="auto"/>
          <w:highlight w:val="none"/>
          <w:lang w:eastAsia="zh-CN"/>
        </w:rPr>
        <w:t>投标人</w:t>
      </w:r>
      <w:r>
        <w:rPr>
          <w:rFonts w:hint="eastAsia"/>
          <w:color w:val="auto"/>
          <w:highlight w:val="none"/>
        </w:rPr>
        <w:t>及制造商应当提供产品或组件包装上依法标注的生产厂址等信息。生产厂址位于中华人民共和国关境内的，相关产品或组件即可视为在中国境内生产。</w:t>
      </w:r>
    </w:p>
    <w:p w14:paraId="30FDB408">
      <w:pPr>
        <w:bidi w:val="0"/>
        <w:rPr>
          <w:rFonts w:hint="eastAsia"/>
          <w:color w:val="auto"/>
          <w:highlight w:val="none"/>
        </w:rPr>
      </w:pPr>
      <w:r>
        <w:rPr>
          <w:rFonts w:hint="eastAsia"/>
          <w:color w:val="auto"/>
          <w:highlight w:val="none"/>
        </w:rPr>
        <w:t>（二）政府采购投诉处理、监督检查中，对产品在中国境内生产的组件成本占比、采购项目或采购包中本国产品成本占比是否达到规定比例存在争议的，相关</w:t>
      </w:r>
      <w:r>
        <w:rPr>
          <w:rFonts w:hint="eastAsia"/>
          <w:color w:val="auto"/>
          <w:highlight w:val="none"/>
          <w:lang w:eastAsia="zh-CN"/>
        </w:rPr>
        <w:t>投标人</w:t>
      </w:r>
      <w:r>
        <w:rPr>
          <w:rFonts w:hint="eastAsia"/>
          <w:color w:val="auto"/>
          <w:highlight w:val="none"/>
        </w:rPr>
        <w:t>及制造商应当提供组件或产品的会计核算数据、采购合同、进货记录等，财政部门按照中国境内生产的组件成本核算相关规则予以认定。</w:t>
      </w:r>
    </w:p>
    <w:p w14:paraId="608D4A8C">
      <w:pPr>
        <w:bidi w:val="0"/>
        <w:rPr>
          <w:rFonts w:hint="eastAsia"/>
          <w:color w:val="auto"/>
          <w:highlight w:val="none"/>
        </w:rPr>
      </w:pPr>
      <w:r>
        <w:rPr>
          <w:rFonts w:hint="eastAsia"/>
          <w:color w:val="auto"/>
          <w:highlight w:val="none"/>
        </w:rPr>
        <w:t>（三）政府采购投诉处理、监督检查中，对特定产品的关键组件是否在中国境内生产存在争议的，按照本通知第五条第（一）项规定的原则处理；对特定产品的关键工序是否在中国境内完成存在争议的，相关</w:t>
      </w:r>
      <w:r>
        <w:rPr>
          <w:rFonts w:hint="eastAsia"/>
          <w:color w:val="auto"/>
          <w:highlight w:val="none"/>
          <w:lang w:eastAsia="zh-CN"/>
        </w:rPr>
        <w:t>投标人</w:t>
      </w:r>
      <w:r>
        <w:rPr>
          <w:rFonts w:hint="eastAsia"/>
          <w:color w:val="auto"/>
          <w:highlight w:val="none"/>
        </w:rPr>
        <w:t>及制造商应当提供关键工序在中国境内完成的记录等材料予以证明。</w:t>
      </w:r>
    </w:p>
    <w:p w14:paraId="66D0F298">
      <w:pPr>
        <w:bidi w:val="0"/>
        <w:rPr>
          <w:rFonts w:hint="eastAsia"/>
          <w:color w:val="auto"/>
          <w:highlight w:val="none"/>
        </w:rPr>
      </w:pPr>
      <w:r>
        <w:rPr>
          <w:rFonts w:hint="eastAsia"/>
          <w:color w:val="auto"/>
          <w:highlight w:val="none"/>
        </w:rPr>
        <w:t>政府采购投诉处理、监督检查中，相关</w:t>
      </w:r>
      <w:r>
        <w:rPr>
          <w:rFonts w:hint="eastAsia"/>
          <w:color w:val="auto"/>
          <w:highlight w:val="none"/>
          <w:lang w:eastAsia="zh-CN"/>
        </w:rPr>
        <w:t>投标人</w:t>
      </w:r>
      <w:r>
        <w:rPr>
          <w:rFonts w:hint="eastAsia"/>
          <w:color w:val="auto"/>
          <w:highlight w:val="none"/>
        </w:rPr>
        <w:t>及制造商未按上述要求提供证明材料或提供的材料不足以证明产品符合本国产品标准的，不应当享受对本国产品的政府采购支持政策，由此影响或者可能影响采购结果的，财政部门按照政府采购相关法律法规规定等处理。</w:t>
      </w:r>
    </w:p>
    <w:p w14:paraId="6B541D73">
      <w:pPr>
        <w:bidi w:val="0"/>
        <w:rPr>
          <w:rFonts w:hint="eastAsia"/>
          <w:color w:val="auto"/>
          <w:highlight w:val="none"/>
        </w:rPr>
      </w:pPr>
      <w:r>
        <w:rPr>
          <w:rFonts w:hint="eastAsia"/>
          <w:color w:val="auto"/>
          <w:highlight w:val="none"/>
        </w:rPr>
        <w:t>本通知自2026年1月1日起施行。</w:t>
      </w:r>
    </w:p>
    <w:p w14:paraId="5111ED4F">
      <w:pPr>
        <w:bidi w:val="0"/>
        <w:rPr>
          <w:rFonts w:hint="eastAsia"/>
          <w:color w:val="auto"/>
          <w:highlight w:val="none"/>
        </w:rPr>
      </w:pPr>
      <w:r>
        <w:rPr>
          <w:rFonts w:hint="eastAsia"/>
          <w:color w:val="auto"/>
          <w:highlight w:val="none"/>
        </w:rPr>
        <w:t> </w:t>
      </w:r>
    </w:p>
    <w:p w14:paraId="0DFDB72E">
      <w:pPr>
        <w:bidi w:val="0"/>
        <w:rPr>
          <w:rFonts w:hint="eastAsia"/>
          <w:color w:val="auto"/>
          <w:highlight w:val="none"/>
        </w:rPr>
      </w:pPr>
    </w:p>
    <w:p w14:paraId="5708E87E">
      <w:pPr>
        <w:bidi w:val="0"/>
        <w:rPr>
          <w:rFonts w:hint="eastAsia"/>
          <w:color w:val="auto"/>
          <w:highlight w:val="none"/>
        </w:rPr>
      </w:pPr>
    </w:p>
    <w:p w14:paraId="2CCF5C84">
      <w:pPr>
        <w:bidi w:val="0"/>
        <w:rPr>
          <w:rFonts w:hint="eastAsia"/>
          <w:color w:val="auto"/>
          <w:highlight w:val="none"/>
        </w:rPr>
      </w:pPr>
    </w:p>
    <w:p w14:paraId="06352A08">
      <w:pPr>
        <w:bidi w:val="0"/>
        <w:rPr>
          <w:rFonts w:hint="eastAsia"/>
          <w:color w:val="auto"/>
          <w:highlight w:val="none"/>
        </w:rPr>
      </w:pPr>
    </w:p>
    <w:p w14:paraId="5B2AFCCE">
      <w:pPr>
        <w:bidi w:val="0"/>
        <w:rPr>
          <w:rFonts w:hint="eastAsia"/>
          <w:color w:val="auto"/>
          <w:highlight w:val="none"/>
        </w:rPr>
      </w:pPr>
    </w:p>
    <w:p w14:paraId="3F1278B2">
      <w:pPr>
        <w:bidi w:val="0"/>
        <w:rPr>
          <w:rFonts w:hint="eastAsia"/>
          <w:color w:val="auto"/>
          <w:highlight w:val="none"/>
        </w:rPr>
      </w:pPr>
    </w:p>
    <w:p w14:paraId="03B12853">
      <w:pPr>
        <w:bidi w:val="0"/>
        <w:rPr>
          <w:rFonts w:hint="eastAsia"/>
          <w:color w:val="auto"/>
          <w:highlight w:val="none"/>
        </w:rPr>
      </w:pPr>
    </w:p>
    <w:p w14:paraId="484D53E4">
      <w:pPr>
        <w:bidi w:val="0"/>
        <w:rPr>
          <w:rFonts w:hint="eastAsia"/>
          <w:color w:val="auto"/>
          <w:highlight w:val="none"/>
        </w:rPr>
      </w:pPr>
    </w:p>
    <w:p w14:paraId="113411A9">
      <w:pPr>
        <w:bidi w:val="0"/>
        <w:rPr>
          <w:rFonts w:hint="eastAsia"/>
          <w:color w:val="auto"/>
          <w:highlight w:val="none"/>
        </w:rPr>
      </w:pPr>
    </w:p>
    <w:p w14:paraId="72C753E2">
      <w:pPr>
        <w:bidi w:val="0"/>
        <w:rPr>
          <w:rFonts w:hint="eastAsia"/>
          <w:color w:val="auto"/>
          <w:highlight w:val="none"/>
        </w:rPr>
      </w:pPr>
      <w:r>
        <w:rPr>
          <w:rFonts w:hint="eastAsia"/>
          <w:color w:val="auto"/>
          <w:highlight w:val="none"/>
        </w:rPr>
        <w:t>附件：1.中国境内生产的组件成本核算基本规则</w:t>
      </w:r>
    </w:p>
    <w:p w14:paraId="34CDB0D0">
      <w:pPr>
        <w:bidi w:val="0"/>
        <w:rPr>
          <w:rFonts w:hint="eastAsia"/>
          <w:color w:val="auto"/>
          <w:highlight w:val="none"/>
        </w:rPr>
      </w:pPr>
      <w:r>
        <w:rPr>
          <w:rFonts w:hint="eastAsia"/>
          <w:color w:val="auto"/>
          <w:highlight w:val="none"/>
        </w:rPr>
        <w:t>　　　2.关于符合本国产品标准的声明函</w:t>
      </w:r>
    </w:p>
    <w:p w14:paraId="04052809">
      <w:pPr>
        <w:bidi w:val="0"/>
        <w:rPr>
          <w:rFonts w:hint="eastAsia"/>
          <w:color w:val="auto"/>
          <w:highlight w:val="none"/>
        </w:rPr>
      </w:pPr>
      <w:r>
        <w:rPr>
          <w:rFonts w:hint="eastAsia"/>
          <w:color w:val="auto"/>
          <w:highlight w:val="none"/>
        </w:rPr>
        <w:t>国务院办公厅　        </w:t>
      </w:r>
    </w:p>
    <w:p w14:paraId="74A2C741">
      <w:pPr>
        <w:bidi w:val="0"/>
        <w:rPr>
          <w:rFonts w:hint="eastAsia"/>
          <w:color w:val="auto"/>
          <w:highlight w:val="none"/>
        </w:rPr>
      </w:pPr>
      <w:r>
        <w:rPr>
          <w:rFonts w:hint="eastAsia"/>
          <w:color w:val="auto"/>
          <w:highlight w:val="none"/>
        </w:rPr>
        <w:t>2025年9月28日         </w:t>
      </w:r>
    </w:p>
    <w:p w14:paraId="7F8D48B3">
      <w:pPr>
        <w:bidi w:val="0"/>
        <w:rPr>
          <w:rFonts w:hint="eastAsia"/>
          <w:color w:val="auto"/>
          <w:highlight w:val="none"/>
        </w:rPr>
      </w:pPr>
      <w:r>
        <w:rPr>
          <w:rFonts w:hint="eastAsia"/>
          <w:color w:val="auto"/>
          <w:highlight w:val="none"/>
        </w:rPr>
        <w:t> </w:t>
      </w:r>
    </w:p>
    <w:p w14:paraId="461ECB31">
      <w:pPr>
        <w:bidi w:val="0"/>
        <w:rPr>
          <w:rFonts w:hint="eastAsia"/>
          <w:color w:val="auto"/>
          <w:highlight w:val="none"/>
        </w:rPr>
      </w:pPr>
      <w:r>
        <w:rPr>
          <w:rFonts w:hint="eastAsia"/>
          <w:color w:val="auto"/>
          <w:highlight w:val="none"/>
        </w:rPr>
        <w:t> </w:t>
      </w:r>
    </w:p>
    <w:p w14:paraId="0125ED1D">
      <w:pPr>
        <w:bidi w:val="0"/>
        <w:rPr>
          <w:rFonts w:hint="eastAsia"/>
          <w:color w:val="auto"/>
          <w:highlight w:val="none"/>
        </w:rPr>
      </w:pPr>
      <w:r>
        <w:rPr>
          <w:rFonts w:hint="eastAsia"/>
          <w:color w:val="auto"/>
          <w:highlight w:val="none"/>
        </w:rPr>
        <w:br w:type="page"/>
      </w:r>
      <w:r>
        <w:rPr>
          <w:rFonts w:hint="eastAsia"/>
          <w:b/>
          <w:bCs/>
          <w:color w:val="auto"/>
          <w:highlight w:val="none"/>
        </w:rPr>
        <w:t>附件1</w:t>
      </w:r>
    </w:p>
    <w:p w14:paraId="05607597">
      <w:pPr>
        <w:bidi w:val="0"/>
        <w:rPr>
          <w:rFonts w:hint="eastAsia"/>
          <w:b/>
          <w:bCs/>
          <w:color w:val="auto"/>
          <w:highlight w:val="none"/>
        </w:rPr>
      </w:pPr>
      <w:r>
        <w:rPr>
          <w:rFonts w:hint="eastAsia"/>
          <w:color w:val="auto"/>
          <w:highlight w:val="none"/>
        </w:rPr>
        <w:t> </w:t>
      </w:r>
    </w:p>
    <w:p w14:paraId="1EBFC2A9">
      <w:pPr>
        <w:bidi w:val="0"/>
        <w:jc w:val="center"/>
        <w:rPr>
          <w:rFonts w:hint="eastAsia"/>
          <w:b/>
          <w:bCs/>
          <w:color w:val="auto"/>
          <w:highlight w:val="none"/>
        </w:rPr>
      </w:pPr>
      <w:r>
        <w:rPr>
          <w:rFonts w:hint="eastAsia"/>
          <w:b/>
          <w:bCs/>
          <w:color w:val="auto"/>
          <w:highlight w:val="none"/>
        </w:rPr>
        <w:t>中国境内生产的组件成本核算基本规则</w:t>
      </w:r>
    </w:p>
    <w:p w14:paraId="0865763B">
      <w:pPr>
        <w:bidi w:val="0"/>
        <w:rPr>
          <w:rFonts w:hint="eastAsia"/>
          <w:color w:val="auto"/>
          <w:highlight w:val="none"/>
        </w:rPr>
      </w:pPr>
      <w:r>
        <w:rPr>
          <w:rFonts w:hint="eastAsia"/>
          <w:color w:val="auto"/>
          <w:highlight w:val="none"/>
        </w:rPr>
        <w:t> </w:t>
      </w:r>
    </w:p>
    <w:p w14:paraId="5FE5A246">
      <w:pPr>
        <w:bidi w:val="0"/>
        <w:rPr>
          <w:rFonts w:hint="eastAsia"/>
          <w:color w:val="auto"/>
          <w:highlight w:val="none"/>
        </w:rPr>
      </w:pPr>
      <w:r>
        <w:rPr>
          <w:rFonts w:hint="eastAsia"/>
          <w:color w:val="auto"/>
          <w:highlight w:val="none"/>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59F84EC9">
      <w:pPr>
        <w:bidi w:val="0"/>
        <w:rPr>
          <w:rFonts w:hint="eastAsia"/>
          <w:color w:val="auto"/>
          <w:highlight w:val="none"/>
        </w:rPr>
      </w:pPr>
      <w:r>
        <w:rPr>
          <w:rFonts w:hint="eastAsia"/>
          <w:color w:val="auto"/>
          <w:highlight w:val="none"/>
        </w:rPr>
        <w:t>一、产品的一级组件是指直接组成产品的组件。产品的二级组件是指直接组成产品一级组件的组件。一级组件不可分解的，视同二级组件。</w:t>
      </w:r>
    </w:p>
    <w:p w14:paraId="691F2EBB">
      <w:pPr>
        <w:bidi w:val="0"/>
        <w:rPr>
          <w:rFonts w:hint="eastAsia"/>
          <w:color w:val="auto"/>
          <w:highlight w:val="none"/>
        </w:rPr>
      </w:pPr>
      <w:r>
        <w:rPr>
          <w:rFonts w:hint="eastAsia"/>
          <w:color w:val="auto"/>
          <w:highlight w:val="none"/>
        </w:rPr>
        <w:t>二、二级组件在中国境内生产的，其全部成本计入中国境内生产的组件成本；二级组件不在中国境内生产的，其成本不计入中国境内生产的组件成本。</w:t>
      </w:r>
    </w:p>
    <w:p w14:paraId="672844AC">
      <w:pPr>
        <w:bidi w:val="0"/>
        <w:rPr>
          <w:rFonts w:hint="eastAsia"/>
          <w:color w:val="auto"/>
          <w:highlight w:val="none"/>
        </w:rPr>
      </w:pPr>
      <w:r>
        <w:rPr>
          <w:rFonts w:hint="eastAsia"/>
          <w:color w:val="auto"/>
          <w:highlight w:val="none"/>
        </w:rPr>
        <w:t>三、产品总成本和组件成本以相关会计核算数据、采购合同、进货记录等为基础进行计算。</w:t>
      </w:r>
    </w:p>
    <w:p w14:paraId="5732521D">
      <w:pPr>
        <w:bidi w:val="0"/>
        <w:rPr>
          <w:rFonts w:hint="eastAsia"/>
          <w:color w:val="auto"/>
          <w:highlight w:val="none"/>
        </w:rPr>
      </w:pPr>
      <w:r>
        <w:rPr>
          <w:rFonts w:hint="eastAsia"/>
          <w:color w:val="auto"/>
          <w:highlight w:val="none"/>
        </w:rPr>
        <w:t>四、需要对成本核算规则予以进一步明确的其他有关事项，由财政部会同有关部门另行规定。</w:t>
      </w:r>
    </w:p>
    <w:p w14:paraId="536A7467">
      <w:pPr>
        <w:bidi w:val="0"/>
        <w:rPr>
          <w:rFonts w:hint="eastAsia"/>
          <w:color w:val="auto"/>
          <w:highlight w:val="none"/>
        </w:rPr>
      </w:pPr>
      <w:r>
        <w:rPr>
          <w:rFonts w:hint="eastAsia"/>
          <w:color w:val="auto"/>
          <w:highlight w:val="none"/>
        </w:rPr>
        <w:t> </w:t>
      </w:r>
    </w:p>
    <w:p w14:paraId="65FF23F1">
      <w:pPr>
        <w:bidi w:val="0"/>
        <w:rPr>
          <w:rFonts w:hint="eastAsia"/>
          <w:color w:val="auto"/>
          <w:highlight w:val="none"/>
        </w:rPr>
      </w:pPr>
      <w:r>
        <w:rPr>
          <w:rFonts w:hint="eastAsia"/>
          <w:color w:val="auto"/>
          <w:highlight w:val="none"/>
        </w:rPr>
        <w:t> </w:t>
      </w:r>
    </w:p>
    <w:p w14:paraId="0ABEFD68">
      <w:pPr>
        <w:bidi w:val="0"/>
        <w:rPr>
          <w:rFonts w:hint="eastAsia"/>
          <w:color w:val="auto"/>
          <w:highlight w:val="none"/>
        </w:rPr>
      </w:pPr>
      <w:r>
        <w:rPr>
          <w:rFonts w:hint="eastAsia"/>
          <w:color w:val="auto"/>
          <w:highlight w:val="none"/>
        </w:rPr>
        <w:br w:type="page"/>
      </w:r>
      <w:r>
        <w:rPr>
          <w:rFonts w:hint="eastAsia"/>
          <w:b/>
          <w:bCs/>
          <w:color w:val="auto"/>
          <w:highlight w:val="none"/>
        </w:rPr>
        <w:t>附件2</w:t>
      </w:r>
    </w:p>
    <w:p w14:paraId="6D2683EB">
      <w:pPr>
        <w:bidi w:val="0"/>
        <w:rPr>
          <w:rFonts w:hint="eastAsia"/>
          <w:b/>
          <w:bCs/>
          <w:color w:val="auto"/>
          <w:highlight w:val="none"/>
        </w:rPr>
      </w:pPr>
      <w:r>
        <w:rPr>
          <w:rFonts w:hint="eastAsia"/>
          <w:color w:val="auto"/>
          <w:highlight w:val="none"/>
        </w:rPr>
        <w:t> </w:t>
      </w:r>
    </w:p>
    <w:p w14:paraId="472D789C">
      <w:pPr>
        <w:bidi w:val="0"/>
        <w:jc w:val="center"/>
        <w:rPr>
          <w:rFonts w:hint="eastAsia"/>
          <w:b/>
          <w:bCs/>
          <w:color w:val="auto"/>
          <w:highlight w:val="none"/>
        </w:rPr>
      </w:pPr>
      <w:r>
        <w:rPr>
          <w:rFonts w:hint="eastAsia"/>
          <w:b/>
          <w:bCs/>
          <w:color w:val="auto"/>
          <w:highlight w:val="none"/>
        </w:rPr>
        <w:t>关于符合本国产品标准的声明函</w:t>
      </w:r>
    </w:p>
    <w:p w14:paraId="65988270">
      <w:pPr>
        <w:bidi w:val="0"/>
        <w:rPr>
          <w:rFonts w:hint="eastAsia"/>
          <w:color w:val="auto"/>
          <w:highlight w:val="none"/>
        </w:rPr>
      </w:pPr>
      <w:r>
        <w:rPr>
          <w:rFonts w:hint="eastAsia"/>
          <w:color w:val="auto"/>
          <w:highlight w:val="none"/>
        </w:rPr>
        <w:t> </w:t>
      </w:r>
    </w:p>
    <w:p w14:paraId="4B835A46">
      <w:pPr>
        <w:bidi w:val="0"/>
        <w:rPr>
          <w:rFonts w:hint="eastAsia"/>
          <w:color w:val="auto"/>
          <w:highlight w:val="none"/>
        </w:rPr>
      </w:pPr>
      <w:r>
        <w:rPr>
          <w:rFonts w:hint="eastAsia"/>
          <w:color w:val="auto"/>
          <w:highlight w:val="none"/>
        </w:rPr>
        <w:t>本公司（单位）郑重声明，根据《国务院办公厅关于在政府采购中实施本国产品标准及相关政策的通知》（国办发〔2025〕34号）的规定，本公司（单位）提供的以下产品属于本国产品。具体情况如下：</w:t>
      </w:r>
    </w:p>
    <w:p w14:paraId="1D557198">
      <w:pPr>
        <w:bidi w:val="0"/>
        <w:rPr>
          <w:rFonts w:hint="eastAsia"/>
          <w:color w:val="auto"/>
          <w:highlight w:val="none"/>
        </w:rPr>
      </w:pPr>
      <w:r>
        <w:rPr>
          <w:rFonts w:hint="eastAsia"/>
          <w:color w:val="auto"/>
          <w:highlight w:val="none"/>
        </w:rPr>
        <w:t>1.（产品名称1）1，生产厂为（厂名）2，厂址为（生产厂址）。（产品名称1）的中国境内生产的组件成本占比≥（规定比例）3。（产品名称1）的（关键组件）4在中国境内生产。（产品名称1）的（关键工序）5在中国境内完成。</w:t>
      </w:r>
    </w:p>
    <w:p w14:paraId="28F20638">
      <w:pPr>
        <w:bidi w:val="0"/>
        <w:rPr>
          <w:rFonts w:hint="eastAsia"/>
          <w:color w:val="auto"/>
          <w:highlight w:val="none"/>
        </w:rPr>
      </w:pPr>
      <w:r>
        <w:rPr>
          <w:rFonts w:hint="eastAsia"/>
          <w:color w:val="auto"/>
          <w:highlight w:val="none"/>
        </w:rPr>
        <w:t>2.（产品名称2），生产厂为（厂名），厂址为（生产厂址）。（产品名称2）的中国境内生产的组件成本占比≥（规定比例）。（产品名称2）的（关键组件）在中国境内生产。（产品名称2）的（关键工序）在中国境内完成。</w:t>
      </w:r>
    </w:p>
    <w:p w14:paraId="111366DB">
      <w:pPr>
        <w:bidi w:val="0"/>
        <w:rPr>
          <w:rFonts w:hint="eastAsia"/>
          <w:color w:val="auto"/>
          <w:highlight w:val="none"/>
        </w:rPr>
      </w:pPr>
      <w:r>
        <w:rPr>
          <w:rFonts w:hint="eastAsia"/>
          <w:color w:val="auto"/>
          <w:highlight w:val="none"/>
        </w:rPr>
        <w:t>……</w:t>
      </w:r>
    </w:p>
    <w:p w14:paraId="3A5BC70A">
      <w:pPr>
        <w:bidi w:val="0"/>
        <w:rPr>
          <w:rFonts w:hint="eastAsia"/>
          <w:color w:val="auto"/>
          <w:highlight w:val="none"/>
        </w:rPr>
      </w:pPr>
      <w:r>
        <w:rPr>
          <w:rFonts w:hint="eastAsia"/>
          <w:color w:val="auto"/>
          <w:highlight w:val="none"/>
        </w:rPr>
        <w:t>本公司（单位）对上述声明内容的真实性负责。如有虚假，愿承担相应法律责任。</w:t>
      </w:r>
    </w:p>
    <w:p w14:paraId="5409557F">
      <w:pPr>
        <w:bidi w:val="0"/>
        <w:rPr>
          <w:rFonts w:hint="eastAsia"/>
          <w:color w:val="auto"/>
          <w:highlight w:val="none"/>
        </w:rPr>
      </w:pPr>
      <w:r>
        <w:rPr>
          <w:rFonts w:hint="eastAsia"/>
          <w:color w:val="auto"/>
          <w:highlight w:val="none"/>
        </w:rPr>
        <w:t> </w:t>
      </w:r>
    </w:p>
    <w:p w14:paraId="166CFE8E">
      <w:pPr>
        <w:bidi w:val="0"/>
        <w:rPr>
          <w:rFonts w:hint="eastAsia"/>
          <w:color w:val="auto"/>
          <w:highlight w:val="none"/>
        </w:rPr>
      </w:pPr>
      <w:r>
        <w:rPr>
          <w:rFonts w:hint="eastAsia"/>
          <w:color w:val="auto"/>
          <w:highlight w:val="none"/>
        </w:rPr>
        <w:t>公司（单位）名称（盖章）：　        </w:t>
      </w:r>
    </w:p>
    <w:p w14:paraId="5181F593">
      <w:pPr>
        <w:bidi w:val="0"/>
        <w:rPr>
          <w:rFonts w:hint="eastAsia"/>
          <w:color w:val="auto"/>
          <w:highlight w:val="none"/>
        </w:rPr>
      </w:pPr>
      <w:r>
        <w:rPr>
          <w:rFonts w:hint="eastAsia"/>
          <w:color w:val="auto"/>
          <w:highlight w:val="none"/>
        </w:rPr>
        <w:t>日期：　     年　  月　  日         </w:t>
      </w:r>
    </w:p>
    <w:p w14:paraId="7FAFEDED">
      <w:pPr>
        <w:bidi w:val="0"/>
        <w:rPr>
          <w:rFonts w:hint="eastAsia"/>
          <w:color w:val="auto"/>
          <w:highlight w:val="none"/>
        </w:rPr>
      </w:pPr>
      <w:r>
        <w:rPr>
          <w:rFonts w:hint="eastAsia"/>
          <w:color w:val="auto"/>
          <w:highlight w:val="none"/>
        </w:rPr>
        <w:t>__________________</w:t>
      </w:r>
    </w:p>
    <w:p w14:paraId="2AC8ECC1">
      <w:pPr>
        <w:bidi w:val="0"/>
        <w:rPr>
          <w:rFonts w:hint="eastAsia"/>
          <w:color w:val="auto"/>
          <w:highlight w:val="none"/>
        </w:rPr>
      </w:pPr>
      <w:r>
        <w:rPr>
          <w:rFonts w:hint="eastAsia"/>
          <w:color w:val="auto"/>
          <w:highlight w:val="none"/>
        </w:rPr>
        <w:t>1.产品如有型号，请在“产品名称”栏一并填写。</w:t>
      </w:r>
    </w:p>
    <w:p w14:paraId="4552C6A6">
      <w:pPr>
        <w:bidi w:val="0"/>
        <w:rPr>
          <w:rFonts w:hint="eastAsia"/>
          <w:color w:val="auto"/>
          <w:highlight w:val="none"/>
        </w:rPr>
      </w:pPr>
      <w:r>
        <w:rPr>
          <w:rFonts w:hint="eastAsia"/>
          <w:color w:val="auto"/>
          <w:highlight w:val="none"/>
        </w:rPr>
        <w:t>2.生产厂名与厂址应与生产厂营业执照载明的相关信息保持一致。</w:t>
      </w:r>
    </w:p>
    <w:p w14:paraId="0FFF427A">
      <w:pPr>
        <w:bidi w:val="0"/>
        <w:rPr>
          <w:rFonts w:hint="eastAsia"/>
          <w:color w:val="auto"/>
          <w:highlight w:val="none"/>
        </w:rPr>
      </w:pPr>
      <w:r>
        <w:rPr>
          <w:rFonts w:hint="eastAsia"/>
          <w:color w:val="auto"/>
          <w:highlight w:val="none"/>
        </w:rPr>
        <w:t>3.该产品的中国境内生产的组件成本占比相关要求实施前，“规定比例”栏可不填，下同。</w:t>
      </w:r>
    </w:p>
    <w:p w14:paraId="3B57F56F">
      <w:pPr>
        <w:bidi w:val="0"/>
        <w:rPr>
          <w:rFonts w:hint="eastAsia"/>
          <w:color w:val="auto"/>
          <w:highlight w:val="none"/>
        </w:rPr>
      </w:pPr>
      <w:r>
        <w:rPr>
          <w:rFonts w:hint="eastAsia"/>
          <w:color w:val="auto"/>
          <w:highlight w:val="none"/>
        </w:rPr>
        <w:t>4.该产品的关键组件要求实施前，“关键组件”栏可不填，下同。</w:t>
      </w:r>
    </w:p>
    <w:p w14:paraId="2E4DBA20">
      <w:pPr>
        <w:bidi w:val="0"/>
        <w:rPr>
          <w:rFonts w:hint="eastAsia"/>
          <w:color w:val="auto"/>
          <w:highlight w:val="none"/>
        </w:rPr>
      </w:pPr>
      <w:r>
        <w:rPr>
          <w:rFonts w:hint="eastAsia"/>
          <w:color w:val="auto"/>
          <w:highlight w:val="none"/>
        </w:rPr>
        <w:t>5.该产品的关键工序要求实施前，“关键工序”栏可不填，下同。</w:t>
      </w:r>
    </w:p>
    <w:p w14:paraId="51C9E5FC">
      <w:pPr>
        <w:bidi w:val="0"/>
        <w:jc w:val="center"/>
        <w:rPr>
          <w:rFonts w:hint="eastAsia" w:ascii="宋体" w:hAnsi="宋体" w:eastAsia="宋体" w:cs="宋体"/>
          <w:b/>
          <w:bCs/>
          <w:color w:val="auto"/>
          <w:sz w:val="21"/>
          <w:szCs w:val="21"/>
          <w:highlight w:val="none"/>
        </w:rPr>
      </w:pPr>
      <w:r>
        <w:rPr>
          <w:rFonts w:hint="eastAsia"/>
          <w:color w:val="auto"/>
          <w:highlight w:val="none"/>
        </w:rPr>
        <w:br w:type="page"/>
      </w:r>
      <w:r>
        <w:rPr>
          <w:rFonts w:hint="eastAsia" w:ascii="宋体" w:hAnsi="宋体" w:eastAsia="宋体" w:cs="宋体"/>
          <w:b/>
          <w:bCs/>
          <w:color w:val="auto"/>
          <w:sz w:val="21"/>
          <w:szCs w:val="21"/>
          <w:highlight w:val="none"/>
          <w:lang w:val="en-US" w:eastAsia="zh-CN"/>
        </w:rPr>
        <w:t>关于推动解决政府采购异常低价问题的通知</w:t>
      </w:r>
    </w:p>
    <w:p w14:paraId="35819B0A">
      <w:pPr>
        <w:bidi w:val="0"/>
        <w:jc w:val="right"/>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 财库〔2026〕2号</w:t>
      </w:r>
    </w:p>
    <w:p w14:paraId="56C757F9">
      <w:pPr>
        <w:bidi w:val="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各中央预算单位，各</w:t>
      </w:r>
      <w:r>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t>省、自治区、直辖市、计划单列市财政厅（局），新疆生产建设兵团财政局：</w:t>
      </w:r>
    </w:p>
    <w:p w14:paraId="357AB6C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40"/>
        <w:jc w:val="both"/>
        <w:textAlignment w:val="baseline"/>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t>为整治政府采购领域“内卷式”竞争，形成优质优价、良性竞争的市场秩序，现就推动解决政府采购异常低价问题有关事项通知如下：</w:t>
      </w:r>
    </w:p>
    <w:p w14:paraId="76E9013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40"/>
        <w:jc w:val="both"/>
        <w:textAlignment w:val="baseline"/>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t>一、加强政府采购需求管理</w:t>
      </w:r>
    </w:p>
    <w:p w14:paraId="0A44D14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40"/>
        <w:jc w:val="both"/>
        <w:textAlignment w:val="baseline"/>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t>采购人应当根据实际工作需要，综合考虑同类项目中标（中标）信息，以及市场供给和产业发展状况，材料、人工等市场价格，行业费用标准等市场调查情况，形成科学、完整、清晰的采购需求，合理设定最高限价，为投标人竞争报价提供基础。未设定最高限价的采购项目，以采购项目预算金额作为最高限价。</w:t>
      </w:r>
    </w:p>
    <w:p w14:paraId="532E1FD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40"/>
        <w:jc w:val="both"/>
        <w:textAlignment w:val="baseline"/>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t>采购人要综合考虑技术、成本效益、促进竞争等因素，按照专业类型和专业领域，合理设置采购包。采购人可以引入全生命周期成本理念，在采购文件中要求投标人对约定期限内的运营、维护、升级，专用耗材，处置报废等费用进行报价，作为评审因素，并在采购合同中明确，投标人应当在约定期限内以不高于其报价的价格向采购人提供专用耗材或者相关服务。采购项目采用综合评分法的，应当按照相关规定科学合理确定价格、技术、商务等因素的分值和权重。</w:t>
      </w:r>
    </w:p>
    <w:p w14:paraId="73B3A87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40"/>
        <w:jc w:val="both"/>
        <w:textAlignment w:val="baseline"/>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t>采购人应当重点加强对信息化建设项目和耗材使用量大的复印、打印、实验、医疗等仪器设备采购项目的管理。对于信息化建设项目，采购人应当要求投标人严格落实相关开放性、兼容性标准和规范要求，按合同约定提供服务；在系统运行过程中，投标人不得在国家规定和合同约定之外以任何名义向相关服务对象收取费用。</w:t>
      </w:r>
    </w:p>
    <w:p w14:paraId="537AF09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40"/>
        <w:jc w:val="both"/>
        <w:textAlignment w:val="baseline"/>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t>二、强化政府采购异常低价审查</w:t>
      </w:r>
    </w:p>
    <w:p w14:paraId="2D152D8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40"/>
        <w:jc w:val="both"/>
        <w:textAlignment w:val="baseline"/>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t>（一）采购人应当在采购文件中明确，政府采购评审中出现下列情形之一的，评审委员会应当启动异常低价投标（响应）审查程序：</w:t>
      </w:r>
    </w:p>
    <w:p w14:paraId="5BD38AB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40"/>
        <w:jc w:val="both"/>
        <w:textAlignment w:val="baseline"/>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t>1.投标（响应）报价低于全部通过符合性审查投标人投标（响应）报价平均值50%的，即投标（响应）报价&lt;全部通过符合性审查投标人投标（响应）报价平均值×50%；</w:t>
      </w:r>
    </w:p>
    <w:p w14:paraId="57127C8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40"/>
        <w:jc w:val="both"/>
        <w:textAlignment w:val="baseline"/>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t>2.投标（响应）报价低于通过符合性审查的次低报价投标人投标（响应）报价50%的，即投标（响应）报价&lt;通过符合性审查的次低报价投标人投标（响应）报价×50%；</w:t>
      </w:r>
    </w:p>
    <w:p w14:paraId="1A3A75F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40"/>
        <w:jc w:val="both"/>
        <w:textAlignment w:val="baseline"/>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t>3.投标（响应）报价低于采购项目最高限价45%的，即投标（响应）报价&lt;采购项目最高限价×45%；</w:t>
      </w:r>
    </w:p>
    <w:p w14:paraId="6063A26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40"/>
        <w:jc w:val="both"/>
        <w:textAlignment w:val="baseline"/>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t>4.评审委员会基于专业判断，认为投标人报价过低，有可能影响产品质量或者不能诚信履约的其他情形。</w:t>
      </w:r>
    </w:p>
    <w:p w14:paraId="1FE9589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40"/>
        <w:jc w:val="both"/>
        <w:textAlignment w:val="baseline"/>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t>采购人可以结合具体项目实际情况，提高上述第1项至第3项中启动异常低价投标（响应）审查的数值标准，但是最高不得超过65%。</w:t>
      </w:r>
    </w:p>
    <w:p w14:paraId="42065D8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40"/>
        <w:jc w:val="both"/>
        <w:textAlignment w:val="baseline"/>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t>相关法律法规对投标人报价有规定的，从其规定。</w:t>
      </w:r>
    </w:p>
    <w:p w14:paraId="16CA644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40"/>
        <w:jc w:val="both"/>
        <w:textAlignment w:val="baseline"/>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t>（二）评审委员会启动异常低价投标（响应）审查后，属于前述第1项至第4项情形的，应当要求相关投标人在评审现场合理的时间内对投标（响应）价格作出解释，提供项目具体成本测算等与报价合理性相关的书面说明及必要的证明材料，包括但不限于原材料成本、人工成本、制造费用等，给予相关投标人的合理时间一般不少于30分钟。其中，属于第3项情形，投标人已随投标（响应）文件一并提交相关书面说明及必要的证明材料的，在评审现场可不再重复提交。</w:t>
      </w:r>
    </w:p>
    <w:p w14:paraId="5D9A6F5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40"/>
        <w:jc w:val="both"/>
        <w:textAlignment w:val="baseline"/>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t>评审委员会依据专业经验，参考同类项目中标（中标）价格、类似产品市场价格水平、行业人工费用标准、国家有关部门指导行业协会发布的行业平均成本等情况，对报价合理性进行判断。投标（响应）投标人不能提供书面说明、证明材料，或者提供的书面说明、证明材料不能证明其报价合理性的，评审委员会应当将其作为无效投标（响应）处理。</w:t>
      </w:r>
    </w:p>
    <w:p w14:paraId="3C9C6C2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40"/>
        <w:jc w:val="both"/>
        <w:textAlignment w:val="baseline"/>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t>采购人、采购代理机构应当为评审委员会在评审现场及时获取同类项目中标（中标）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4A57D0F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40"/>
        <w:jc w:val="both"/>
        <w:textAlignment w:val="baseline"/>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t>异常低价投标（响应）审查的启动原因、审查意见和审查结果应当在评审报告中记录，并随投标人提供的相关书面说明及证明材料，以及评审委员会有关互联网浏览、查询历史一并归档。</w:t>
      </w:r>
    </w:p>
    <w:p w14:paraId="41302F9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40"/>
        <w:jc w:val="both"/>
        <w:textAlignment w:val="baseline"/>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t>（三）各级财政部门应当加强对评审专家的指导和监管，进一步压实评审专家的责任。财政部门在投诉处理、监督检查中发现评审委员会未按规定对异常低价开展审查的，依法予以纠正并追究评审专家的法律责任。</w:t>
      </w:r>
    </w:p>
    <w:p w14:paraId="4966B6C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40"/>
        <w:jc w:val="both"/>
        <w:textAlignment w:val="baseline"/>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t>三、加强政府采购履约验收管理</w:t>
      </w:r>
    </w:p>
    <w:p w14:paraId="436453B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40"/>
        <w:jc w:val="both"/>
        <w:textAlignment w:val="baseline"/>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t>采购人应当落实履约验收责任，依法组织履约验收工作，验收内容要包括每一项技术和商务要求的履约情况。对报价触发异常低价投标（响应）审查程序后仍中标（中标）的投标人，采购人要重点关注其履约承诺、实际履约情况等。对可以分期实施的采购项目，实行分期考核、分期验收、分期支付，及时掌握投标人履约进展。如投标人中标（中标）后无正当理由拒不签订政府采购合同的，依法予以处理；如投标人不履行合同或者未按合同约定履行合同导致验收不合格的，采购人应当依法追究其违约责任。</w:t>
      </w:r>
    </w:p>
    <w:p w14:paraId="7162DC1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40"/>
        <w:jc w:val="both"/>
        <w:textAlignment w:val="baseline"/>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t>各部门、各地区要充分认识解决政府采购异常低价问题的重要意义，加强组织领导，周密安排部署，强化监督指导，结合工作实际，通过完善采购文件标准文本、增设交易系统功能、加强履约担保、加大违约责任追究力度等措施，进一步细化工作举措，确保各项要求落实到位。</w:t>
      </w:r>
    </w:p>
    <w:p w14:paraId="4AC9E11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640"/>
        <w:jc w:val="both"/>
        <w:textAlignment w:val="baseline"/>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t>本通知自2026年2月1日起施行。 </w:t>
      </w:r>
    </w:p>
    <w:p w14:paraId="358EAFB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88" w:lineRule="atLeast"/>
        <w:ind w:left="0" w:right="0" w:firstLine="640"/>
        <w:jc w:val="both"/>
        <w:textAlignment w:val="baseline"/>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kern w:val="0"/>
          <w:sz w:val="21"/>
          <w:szCs w:val="21"/>
          <w:highlight w:val="none"/>
          <w:u w:val="none"/>
          <w:shd w:val="clear" w:color="auto" w:fill="FFFFFF"/>
          <w:vertAlign w:val="baseline"/>
          <w:lang w:val="en-US" w:eastAsia="zh-CN" w:bidi="ar"/>
        </w:rPr>
        <w:t> </w:t>
      </w:r>
    </w:p>
    <w:p w14:paraId="24C7ED5C">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right"/>
        <w:textAlignment w:val="baseline"/>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u w:val="none"/>
          <w:shd w:val="clear" w:color="auto" w:fill="FFFFFF"/>
          <w:vertAlign w:val="baseline"/>
        </w:rPr>
        <w:t>财政部</w:t>
      </w:r>
    </w:p>
    <w:p w14:paraId="647E2957">
      <w:pPr>
        <w:pStyle w:val="1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7" w:lineRule="atLeast"/>
        <w:ind w:left="0" w:right="0"/>
        <w:jc w:val="right"/>
        <w:textAlignment w:val="baseline"/>
        <w:rPr>
          <w:rFonts w:hint="eastAsia" w:ascii="宋体" w:hAnsi="宋体" w:eastAsia="宋体" w:cs="宋体"/>
          <w:color w:val="auto"/>
          <w:sz w:val="21"/>
          <w:szCs w:val="21"/>
          <w:highlight w:val="none"/>
        </w:rPr>
      </w:pPr>
      <w:r>
        <w:rPr>
          <w:rFonts w:hint="eastAsia" w:ascii="宋体" w:hAnsi="宋体" w:eastAsia="宋体" w:cs="宋体"/>
          <w:i w:val="0"/>
          <w:iCs w:val="0"/>
          <w:caps w:val="0"/>
          <w:color w:val="auto"/>
          <w:spacing w:val="0"/>
          <w:sz w:val="21"/>
          <w:szCs w:val="21"/>
          <w:highlight w:val="none"/>
          <w:u w:val="none"/>
          <w:shd w:val="clear" w:color="auto" w:fill="FFFFFF"/>
          <w:vertAlign w:val="baseline"/>
        </w:rPr>
        <w:t>2026年1月14日</w:t>
      </w:r>
    </w:p>
    <w:p w14:paraId="2280F9A5">
      <w:pPr>
        <w:ind w:left="0" w:leftChars="0" w:firstLine="0" w:firstLineChars="0"/>
        <w:rPr>
          <w:rFonts w:hint="eastAsia" w:ascii="宋体" w:hAnsi="宋体" w:eastAsia="宋体" w:cs="宋体"/>
          <w:color w:val="auto"/>
          <w:sz w:val="21"/>
          <w:szCs w:val="21"/>
          <w:highlight w:val="none"/>
        </w:rPr>
      </w:pPr>
    </w:p>
    <w:p w14:paraId="3BE25AA6">
      <w:pPr>
        <w:bidi w:val="0"/>
        <w:rPr>
          <w:rFonts w:ascii="宋体" w:hAnsi="Times New Roman" w:eastAsia="宋体" w:cs="Times New Roman"/>
          <w:color w:val="auto"/>
          <w:kern w:val="21"/>
          <w:sz w:val="21"/>
          <w:szCs w:val="22"/>
          <w:highlight w:val="none"/>
          <w:lang w:val="en-US" w:eastAsia="zh-CN" w:bidi="ar-SA"/>
        </w:rPr>
      </w:pPr>
    </w:p>
    <w:p w14:paraId="535EB6E6">
      <w:pPr>
        <w:bidi w:val="0"/>
        <w:rPr>
          <w:color w:val="auto"/>
          <w:highlight w:val="none"/>
          <w:lang w:val="en-US" w:eastAsia="zh-CN"/>
        </w:rPr>
      </w:pPr>
    </w:p>
    <w:p w14:paraId="2DD6CF66">
      <w:pPr>
        <w:bidi w:val="0"/>
        <w:rPr>
          <w:color w:val="auto"/>
          <w:highlight w:val="none"/>
          <w:lang w:val="en-US" w:eastAsia="zh-CN"/>
        </w:rPr>
      </w:pPr>
    </w:p>
    <w:p w14:paraId="29A0D21C">
      <w:pPr>
        <w:bidi w:val="0"/>
        <w:rPr>
          <w:color w:val="auto"/>
          <w:highlight w:val="none"/>
          <w:lang w:val="en-US" w:eastAsia="zh-CN"/>
        </w:rPr>
      </w:pPr>
    </w:p>
    <w:p w14:paraId="20E1C47F">
      <w:pPr>
        <w:bidi w:val="0"/>
        <w:rPr>
          <w:color w:val="auto"/>
          <w:highlight w:val="none"/>
          <w:lang w:val="en-US" w:eastAsia="zh-CN"/>
        </w:rPr>
      </w:pPr>
    </w:p>
    <w:p w14:paraId="320069AA">
      <w:pPr>
        <w:bidi w:val="0"/>
        <w:rPr>
          <w:color w:val="auto"/>
          <w:highlight w:val="none"/>
          <w:lang w:val="en-US" w:eastAsia="zh-CN"/>
        </w:rPr>
      </w:pPr>
    </w:p>
    <w:p w14:paraId="789A8164">
      <w:pPr>
        <w:bidi w:val="0"/>
        <w:rPr>
          <w:color w:val="auto"/>
          <w:highlight w:val="none"/>
          <w:lang w:val="en-US" w:eastAsia="zh-CN"/>
        </w:rPr>
      </w:pPr>
    </w:p>
    <w:p w14:paraId="6177600D">
      <w:pPr>
        <w:bidi w:val="0"/>
        <w:rPr>
          <w:color w:val="auto"/>
          <w:highlight w:val="none"/>
          <w:lang w:val="en-US" w:eastAsia="zh-CN"/>
        </w:rPr>
      </w:pPr>
    </w:p>
    <w:p w14:paraId="101B77A5">
      <w:pPr>
        <w:bidi w:val="0"/>
        <w:rPr>
          <w:color w:val="auto"/>
          <w:highlight w:val="none"/>
          <w:lang w:val="en-US" w:eastAsia="zh-CN"/>
        </w:rPr>
      </w:pPr>
    </w:p>
    <w:p w14:paraId="560EFBAF">
      <w:pPr>
        <w:bidi w:val="0"/>
        <w:rPr>
          <w:color w:val="auto"/>
          <w:highlight w:val="none"/>
          <w:lang w:val="en-US" w:eastAsia="zh-CN"/>
        </w:rPr>
      </w:pPr>
    </w:p>
    <w:p w14:paraId="270DD6D3">
      <w:pPr>
        <w:bidi w:val="0"/>
        <w:rPr>
          <w:color w:val="auto"/>
          <w:highlight w:val="none"/>
          <w:lang w:val="en-US" w:eastAsia="zh-CN"/>
        </w:rPr>
      </w:pPr>
    </w:p>
    <w:p w14:paraId="498384B6">
      <w:pPr>
        <w:bidi w:val="0"/>
        <w:rPr>
          <w:color w:val="auto"/>
          <w:highlight w:val="none"/>
          <w:lang w:val="en-US" w:eastAsia="zh-CN"/>
        </w:rPr>
      </w:pPr>
    </w:p>
    <w:p w14:paraId="0F63B8AA">
      <w:pPr>
        <w:bidi w:val="0"/>
        <w:rPr>
          <w:color w:val="auto"/>
          <w:highlight w:val="none"/>
          <w:lang w:val="en-US" w:eastAsia="zh-CN"/>
        </w:rPr>
      </w:pPr>
    </w:p>
    <w:p w14:paraId="5A431E9A">
      <w:pPr>
        <w:bidi w:val="0"/>
        <w:rPr>
          <w:color w:val="auto"/>
          <w:highlight w:val="none"/>
          <w:lang w:val="en-US" w:eastAsia="zh-CN"/>
        </w:rPr>
      </w:pPr>
    </w:p>
    <w:p w14:paraId="4F624800">
      <w:pPr>
        <w:bidi w:val="0"/>
        <w:rPr>
          <w:color w:val="auto"/>
          <w:highlight w:val="none"/>
          <w:lang w:val="en-US" w:eastAsia="zh-CN"/>
        </w:rPr>
      </w:pPr>
    </w:p>
    <w:p w14:paraId="375C40FF">
      <w:pPr>
        <w:bidi w:val="0"/>
        <w:rPr>
          <w:color w:val="auto"/>
          <w:highlight w:val="none"/>
          <w:lang w:val="en-US" w:eastAsia="zh-CN"/>
        </w:rPr>
      </w:pPr>
    </w:p>
    <w:p w14:paraId="555B2417">
      <w:pPr>
        <w:bidi w:val="0"/>
        <w:rPr>
          <w:color w:val="auto"/>
          <w:highlight w:val="none"/>
          <w:lang w:val="en-US" w:eastAsia="zh-CN"/>
        </w:rPr>
      </w:pPr>
    </w:p>
    <w:p w14:paraId="64A5113B">
      <w:pPr>
        <w:pStyle w:val="2"/>
        <w:bidi w:val="0"/>
        <w:rPr>
          <w:color w:val="auto"/>
          <w:highlight w:val="none"/>
        </w:rPr>
      </w:pPr>
      <w:r>
        <w:rPr>
          <w:rFonts w:hint="eastAsia"/>
          <w:color w:val="auto"/>
          <w:highlight w:val="none"/>
          <w:lang w:val="en-US" w:eastAsia="zh-CN"/>
        </w:rPr>
        <w:tab/>
      </w:r>
      <w:bookmarkStart w:id="76" w:name="_Toc230599450"/>
      <w:bookmarkStart w:id="77" w:name="_Toc32090"/>
      <w:bookmarkStart w:id="78" w:name="OLE_LINK2"/>
      <w:bookmarkStart w:id="79" w:name="_Toc22848"/>
      <w:r>
        <w:rPr>
          <w:rFonts w:hint="eastAsia"/>
          <w:color w:val="auto"/>
          <w:highlight w:val="none"/>
        </w:rPr>
        <w:t>第三章 评标办法</w:t>
      </w:r>
      <w:bookmarkEnd w:id="76"/>
      <w:r>
        <w:rPr>
          <w:rFonts w:hint="eastAsia"/>
          <w:color w:val="auto"/>
          <w:highlight w:val="none"/>
        </w:rPr>
        <w:t>（综合评分法）</w:t>
      </w:r>
      <w:bookmarkEnd w:id="77"/>
      <w:bookmarkEnd w:id="78"/>
      <w:bookmarkEnd w:id="79"/>
    </w:p>
    <w:p w14:paraId="58F7CA78">
      <w:pPr>
        <w:pStyle w:val="3"/>
        <w:pageBreakBefore w:val="0"/>
        <w:widowControl w:val="0"/>
        <w:kinsoku/>
        <w:wordWrap w:val="0"/>
        <w:overflowPunct/>
        <w:topLinePunct/>
        <w:bidi w:val="0"/>
        <w:adjustRightInd/>
        <w:snapToGrid/>
        <w:spacing w:before="0" w:beforeLines="0" w:after="0" w:afterLines="0" w:line="360" w:lineRule="auto"/>
        <w:ind w:left="0" w:leftChars="0" w:firstLine="0" w:firstLineChars="0"/>
        <w:textAlignment w:val="auto"/>
        <w:rPr>
          <w:rFonts w:hint="eastAsia" w:ascii="宋体" w:hAnsi="宋体" w:eastAsia="宋体" w:cs="宋体"/>
          <w:color w:val="auto"/>
          <w:highlight w:val="none"/>
        </w:rPr>
      </w:pPr>
      <w:bookmarkStart w:id="80" w:name="_Toc247085758"/>
      <w:bookmarkStart w:id="81" w:name="_Toc152045600"/>
      <w:bookmarkStart w:id="82" w:name="_Toc179632618"/>
      <w:bookmarkStart w:id="83" w:name="_Toc30463"/>
      <w:bookmarkStart w:id="84" w:name="_Toc51602762"/>
      <w:bookmarkStart w:id="85" w:name="_Toc51601126"/>
      <w:bookmarkStart w:id="86" w:name="_Toc152042377"/>
      <w:bookmarkStart w:id="87" w:name="_Toc246996986"/>
      <w:bookmarkStart w:id="88" w:name="_Toc23200"/>
      <w:bookmarkStart w:id="89" w:name="_Toc246996243"/>
      <w:bookmarkStart w:id="90" w:name="_Toc388624286"/>
      <w:bookmarkStart w:id="91" w:name="_Toc403061806"/>
      <w:bookmarkStart w:id="92" w:name="_Toc144974567"/>
      <w:bookmarkStart w:id="93" w:name="_Toc388624059"/>
      <w:r>
        <w:rPr>
          <w:rFonts w:hint="eastAsia" w:ascii="宋体" w:hAnsi="宋体" w:eastAsia="宋体" w:cs="宋体"/>
          <w:color w:val="auto"/>
          <w:highlight w:val="none"/>
        </w:rPr>
        <w:t>1. 评标方法</w:t>
      </w:r>
      <w:bookmarkEnd w:id="80"/>
      <w:bookmarkEnd w:id="81"/>
      <w:bookmarkEnd w:id="82"/>
      <w:bookmarkEnd w:id="83"/>
      <w:bookmarkEnd w:id="84"/>
      <w:bookmarkEnd w:id="85"/>
      <w:bookmarkEnd w:id="86"/>
      <w:bookmarkEnd w:id="87"/>
      <w:bookmarkEnd w:id="88"/>
      <w:bookmarkEnd w:id="89"/>
      <w:bookmarkEnd w:id="90"/>
      <w:bookmarkEnd w:id="91"/>
      <w:bookmarkEnd w:id="92"/>
      <w:bookmarkEnd w:id="93"/>
    </w:p>
    <w:p w14:paraId="72F449AE">
      <w:pPr>
        <w:pageBreakBefore w:val="0"/>
        <w:widowControl w:val="0"/>
        <w:kinsoku/>
        <w:wordWrap w:val="0"/>
        <w:overflowPunct/>
        <w:topLinePunct/>
        <w:bidi w:val="0"/>
        <w:adjustRightInd/>
        <w:snapToGrid/>
        <w:spacing w:line="360" w:lineRule="auto"/>
        <w:ind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本次评标采用综合评分法。</w:t>
      </w:r>
    </w:p>
    <w:p w14:paraId="10DDE03D">
      <w:pPr>
        <w:pageBreakBefore w:val="0"/>
        <w:widowControl w:val="0"/>
        <w:kinsoku/>
        <w:wordWrap w:val="0"/>
        <w:overflowPunct/>
        <w:topLinePunct/>
        <w:bidi w:val="0"/>
        <w:adjustRightInd/>
        <w:snapToGrid/>
        <w:spacing w:line="360" w:lineRule="auto"/>
        <w:ind w:firstLine="480" w:firstLineChars="200"/>
        <w:textAlignment w:val="auto"/>
        <w:rPr>
          <w:rFonts w:hint="eastAsia" w:ascii="宋体" w:hAnsi="宋体" w:eastAsia="宋体" w:cs="宋体"/>
          <w:color w:val="auto"/>
          <w:highlight w:val="none"/>
        </w:rPr>
      </w:pPr>
      <w:r>
        <w:rPr>
          <w:rFonts w:hint="eastAsia" w:ascii="宋体" w:hAnsi="宋体" w:eastAsia="宋体" w:cs="宋体"/>
          <w:color w:val="auto"/>
          <w:sz w:val="24"/>
          <w:szCs w:val="32"/>
          <w:highlight w:val="none"/>
        </w:rPr>
        <w:t>评标委员会对满足招标文件实质性要求的投标文件，按照本章规定的评分标准进行打分，并按得分由高到低确定中标人，但投标报价低于其成本的除外。综合评分得分相等时，按投标报价由低到高顺序排列；得分且投标报价也相等的，按技术指标优劣顺序排列。</w:t>
      </w:r>
    </w:p>
    <w:p w14:paraId="2F369E47">
      <w:pPr>
        <w:pStyle w:val="3"/>
        <w:pageBreakBefore w:val="0"/>
        <w:widowControl w:val="0"/>
        <w:kinsoku/>
        <w:wordWrap w:val="0"/>
        <w:overflowPunct/>
        <w:topLinePunct/>
        <w:bidi w:val="0"/>
        <w:adjustRightInd/>
        <w:snapToGrid/>
        <w:spacing w:before="0" w:beforeLines="0" w:after="0" w:afterLines="0" w:line="360" w:lineRule="auto"/>
        <w:ind w:left="0" w:leftChars="0" w:firstLine="0" w:firstLineChars="0"/>
        <w:textAlignment w:val="auto"/>
        <w:rPr>
          <w:rFonts w:hint="eastAsia" w:ascii="宋体" w:hAnsi="宋体" w:eastAsia="宋体" w:cs="宋体"/>
          <w:color w:val="auto"/>
          <w:highlight w:val="none"/>
        </w:rPr>
      </w:pPr>
      <w:bookmarkStart w:id="94" w:name="_Toc144974568"/>
      <w:bookmarkStart w:id="95" w:name="_Toc179632619"/>
      <w:bookmarkStart w:id="96" w:name="_Toc246996244"/>
      <w:bookmarkStart w:id="97" w:name="_Toc246996987"/>
      <w:bookmarkStart w:id="98" w:name="_Toc19929"/>
      <w:bookmarkStart w:id="99" w:name="_Toc388624287"/>
      <w:bookmarkStart w:id="100" w:name="_Toc152042378"/>
      <w:bookmarkStart w:id="101" w:name="_Toc51601127"/>
      <w:bookmarkStart w:id="102" w:name="_Toc388624060"/>
      <w:bookmarkStart w:id="103" w:name="_Toc51602763"/>
      <w:bookmarkStart w:id="104" w:name="_Toc7400"/>
      <w:bookmarkStart w:id="105" w:name="_Toc247085759"/>
      <w:bookmarkStart w:id="106" w:name="_Toc403061807"/>
      <w:bookmarkStart w:id="107" w:name="_Toc152045601"/>
      <w:r>
        <w:rPr>
          <w:rFonts w:hint="eastAsia" w:ascii="宋体" w:hAnsi="宋体" w:eastAsia="宋体" w:cs="宋体"/>
          <w:color w:val="auto"/>
          <w:highlight w:val="none"/>
        </w:rPr>
        <w:t>2. 评审标准</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14:paraId="69D7A4D1">
      <w:pPr>
        <w:pageBreakBefore w:val="0"/>
        <w:widowControl w:val="0"/>
        <w:kinsoku/>
        <w:wordWrap w:val="0"/>
        <w:overflowPunct/>
        <w:topLinePunct/>
        <w:bidi w:val="0"/>
        <w:adjustRightInd/>
        <w:snapToGrid/>
        <w:spacing w:line="360" w:lineRule="auto"/>
        <w:ind w:left="0" w:leftChars="0" w:firstLine="0" w:firstLineChars="0"/>
        <w:textAlignment w:val="auto"/>
        <w:rPr>
          <w:rFonts w:hint="eastAsia" w:ascii="宋体" w:hAnsi="宋体" w:eastAsia="宋体" w:cs="宋体"/>
          <w:color w:val="auto"/>
          <w:sz w:val="24"/>
          <w:szCs w:val="32"/>
          <w:highlight w:val="none"/>
        </w:rPr>
      </w:pPr>
      <w:bookmarkStart w:id="108" w:name="_Toc144974569"/>
      <w:bookmarkStart w:id="109" w:name="_Toc246996988"/>
      <w:bookmarkStart w:id="110" w:name="_Toc152042379"/>
      <w:bookmarkStart w:id="111" w:name="_Toc296602490"/>
      <w:bookmarkStart w:id="112" w:name="_Toc179632620"/>
      <w:bookmarkStart w:id="113" w:name="_Toc247085760"/>
      <w:bookmarkStart w:id="114" w:name="_Toc246996245"/>
      <w:bookmarkStart w:id="115" w:name="_Toc152045602"/>
      <w:r>
        <w:rPr>
          <w:rFonts w:hint="eastAsia" w:ascii="宋体" w:hAnsi="宋体" w:eastAsia="宋体" w:cs="宋体"/>
          <w:color w:val="auto"/>
          <w:sz w:val="24"/>
          <w:szCs w:val="32"/>
          <w:highlight w:val="none"/>
        </w:rPr>
        <w:t>2.1 初步评审标准</w:t>
      </w:r>
      <w:bookmarkEnd w:id="108"/>
      <w:bookmarkEnd w:id="109"/>
      <w:bookmarkEnd w:id="110"/>
      <w:bookmarkEnd w:id="111"/>
      <w:bookmarkEnd w:id="112"/>
      <w:bookmarkEnd w:id="113"/>
      <w:bookmarkEnd w:id="114"/>
      <w:bookmarkEnd w:id="115"/>
    </w:p>
    <w:p w14:paraId="495C3C17">
      <w:pPr>
        <w:pageBreakBefore w:val="0"/>
        <w:widowControl w:val="0"/>
        <w:kinsoku/>
        <w:wordWrap w:val="0"/>
        <w:overflowPunct/>
        <w:topLinePunct/>
        <w:bidi w:val="0"/>
        <w:adjustRightInd/>
        <w:snapToGrid/>
        <w:spacing w:line="360" w:lineRule="auto"/>
        <w:ind w:left="0" w:leftChars="0"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对投标文件进行初审以确认投标的有效性。</w:t>
      </w:r>
    </w:p>
    <w:p w14:paraId="40AD4C9E">
      <w:pPr>
        <w:pageBreakBefore w:val="0"/>
        <w:widowControl w:val="0"/>
        <w:kinsoku/>
        <w:wordWrap w:val="0"/>
        <w:overflowPunct/>
        <w:topLinePunct/>
        <w:bidi w:val="0"/>
        <w:adjustRightInd/>
        <w:snapToGrid/>
        <w:spacing w:line="360" w:lineRule="auto"/>
        <w:ind w:left="0" w:leftChars="0" w:firstLine="480" w:firstLineChars="200"/>
        <w:textAlignment w:val="auto"/>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评标委员会按照招标文件的评审因素对投标人进行评审，评审的结果分“合格”与“不合格”。经评委会审定为“不合格”的投标人不得参与下一阶段的投标文件评审。</w:t>
      </w:r>
    </w:p>
    <w:p w14:paraId="72979303">
      <w:pPr>
        <w:pageBreakBefore w:val="0"/>
        <w:widowControl w:val="0"/>
        <w:kinsoku/>
        <w:wordWrap w:val="0"/>
        <w:overflowPunct/>
        <w:topLinePunct/>
        <w:autoSpaceDE w:val="0"/>
        <w:autoSpaceDN w:val="0"/>
        <w:bidi w:val="0"/>
        <w:adjustRightInd/>
        <w:snapToGrid/>
        <w:spacing w:line="360" w:lineRule="auto"/>
        <w:ind w:firstLine="0" w:firstLineChars="0"/>
        <w:jc w:val="both"/>
        <w:textAlignment w:val="auto"/>
        <w:rPr>
          <w:rFonts w:hint="eastAsia" w:hAnsi="宋体" w:cs="宋体"/>
          <w:b/>
          <w:bCs/>
          <w:color w:val="auto"/>
          <w:sz w:val="24"/>
          <w:szCs w:val="24"/>
          <w:highlight w:val="none"/>
        </w:rPr>
      </w:pPr>
      <w:bookmarkStart w:id="116" w:name="_Toc152042376"/>
      <w:bookmarkStart w:id="117" w:name="_Toc468267472"/>
      <w:bookmarkStart w:id="118" w:name="_Toc246996242"/>
      <w:bookmarkStart w:id="119" w:name="_Toc246996985"/>
      <w:bookmarkStart w:id="120" w:name="_Toc179632617"/>
      <w:bookmarkStart w:id="121" w:name="_Toc144974566"/>
      <w:bookmarkStart w:id="122" w:name="_Toc247085757"/>
      <w:bookmarkStart w:id="123" w:name="_Toc409424330"/>
      <w:bookmarkStart w:id="124" w:name="_Toc152045599"/>
      <w:bookmarkStart w:id="125" w:name="_Toc409424391"/>
      <w:r>
        <w:rPr>
          <w:rFonts w:hint="eastAsia" w:ascii="宋体" w:hAnsi="宋体" w:eastAsia="宋体" w:cs="宋体"/>
          <w:b/>
          <w:bCs/>
          <w:color w:val="auto"/>
          <w:kern w:val="21"/>
          <w:sz w:val="24"/>
          <w:szCs w:val="24"/>
          <w:highlight w:val="none"/>
          <w:lang w:val="en-US" w:eastAsia="zh-CN" w:bidi="ar-SA"/>
        </w:rPr>
        <w:t>初步评审前附表</w:t>
      </w:r>
    </w:p>
    <w:tbl>
      <w:tblPr>
        <w:tblStyle w:val="16"/>
        <w:tblW w:w="913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8"/>
        <w:gridCol w:w="1163"/>
        <w:gridCol w:w="2129"/>
        <w:gridCol w:w="4989"/>
      </w:tblGrid>
      <w:tr w14:paraId="3C50A8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021" w:type="dxa"/>
            <w:gridSpan w:val="2"/>
            <w:tcBorders>
              <w:top w:val="single" w:color="auto" w:sz="4" w:space="0"/>
              <w:bottom w:val="single" w:color="auto" w:sz="4" w:space="0"/>
              <w:right w:val="single" w:color="auto" w:sz="4" w:space="0"/>
            </w:tcBorders>
            <w:shd w:val="clear" w:color="auto" w:fill="BEBEBE"/>
            <w:noWrap w:val="0"/>
            <w:vAlign w:val="center"/>
          </w:tcPr>
          <w:p w14:paraId="5D2AA805">
            <w:pPr>
              <w:keepNext w:val="0"/>
              <w:keepLines w:val="0"/>
              <w:pageBreakBefore w:val="0"/>
              <w:widowControl w:val="0"/>
              <w:shd w:val="clear" w:color="auto" w:fill="auto"/>
              <w:kinsoku/>
              <w:wordWrap/>
              <w:overflowPunct/>
              <w:topLinePunct w:val="0"/>
              <w:autoSpaceDE w:val="0"/>
              <w:autoSpaceDN w:val="0"/>
              <w:bidi w:val="0"/>
              <w:adjustRightInd w:val="0"/>
              <w:spacing w:line="360" w:lineRule="exact"/>
              <w:jc w:val="center"/>
              <w:textAlignment w:val="auto"/>
              <w:rPr>
                <w:rFonts w:hint="eastAsia"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lang w:val="zh-CN"/>
              </w:rPr>
              <w:t>条款号</w:t>
            </w:r>
          </w:p>
        </w:tc>
        <w:tc>
          <w:tcPr>
            <w:tcW w:w="2129" w:type="dxa"/>
            <w:tcBorders>
              <w:top w:val="single" w:color="auto" w:sz="4" w:space="0"/>
              <w:left w:val="single" w:color="auto" w:sz="4" w:space="0"/>
              <w:bottom w:val="single" w:color="auto" w:sz="4" w:space="0"/>
              <w:right w:val="single" w:color="auto" w:sz="4" w:space="0"/>
            </w:tcBorders>
            <w:shd w:val="clear" w:color="auto" w:fill="BEBEBE"/>
            <w:noWrap w:val="0"/>
            <w:vAlign w:val="center"/>
          </w:tcPr>
          <w:p w14:paraId="1BBB7043">
            <w:pPr>
              <w:keepNext w:val="0"/>
              <w:keepLines w:val="0"/>
              <w:pageBreakBefore w:val="0"/>
              <w:widowControl w:val="0"/>
              <w:shd w:val="clear" w:color="auto" w:fill="auto"/>
              <w:kinsoku/>
              <w:wordWrap/>
              <w:overflowPunct/>
              <w:topLinePunct w:val="0"/>
              <w:autoSpaceDE w:val="0"/>
              <w:autoSpaceDN w:val="0"/>
              <w:bidi w:val="0"/>
              <w:adjustRightInd w:val="0"/>
              <w:spacing w:line="360" w:lineRule="exact"/>
              <w:jc w:val="center"/>
              <w:textAlignment w:val="auto"/>
              <w:rPr>
                <w:rFonts w:hint="eastAsia"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lang w:val="zh-CN"/>
              </w:rPr>
              <w:t>评审因素</w:t>
            </w:r>
          </w:p>
        </w:tc>
        <w:tc>
          <w:tcPr>
            <w:tcW w:w="4989" w:type="dxa"/>
            <w:tcBorders>
              <w:top w:val="single" w:color="auto" w:sz="4" w:space="0"/>
              <w:left w:val="single" w:color="auto" w:sz="4" w:space="0"/>
              <w:bottom w:val="single" w:color="auto" w:sz="4" w:space="0"/>
              <w:right w:val="single" w:color="auto" w:sz="4" w:space="0"/>
            </w:tcBorders>
            <w:shd w:val="clear" w:color="auto" w:fill="BEBEBE"/>
            <w:noWrap w:val="0"/>
            <w:vAlign w:val="center"/>
          </w:tcPr>
          <w:p w14:paraId="70CEE212">
            <w:pPr>
              <w:keepNext w:val="0"/>
              <w:keepLines w:val="0"/>
              <w:pageBreakBefore w:val="0"/>
              <w:widowControl w:val="0"/>
              <w:shd w:val="clear" w:color="auto" w:fill="auto"/>
              <w:kinsoku/>
              <w:wordWrap/>
              <w:overflowPunct/>
              <w:topLinePunct w:val="0"/>
              <w:autoSpaceDE w:val="0"/>
              <w:autoSpaceDN w:val="0"/>
              <w:bidi w:val="0"/>
              <w:adjustRightInd w:val="0"/>
              <w:spacing w:line="360" w:lineRule="exact"/>
              <w:jc w:val="center"/>
              <w:textAlignment w:val="auto"/>
              <w:rPr>
                <w:rFonts w:hint="eastAsia" w:ascii="宋体" w:hAnsi="宋体" w:eastAsia="宋体" w:cs="宋体"/>
                <w:b/>
                <w:bCs/>
                <w:color w:val="auto"/>
                <w:sz w:val="21"/>
                <w:szCs w:val="21"/>
                <w:highlight w:val="none"/>
                <w:lang w:val="zh-CN"/>
              </w:rPr>
            </w:pPr>
            <w:r>
              <w:rPr>
                <w:rFonts w:hint="eastAsia" w:ascii="宋体" w:hAnsi="宋体" w:eastAsia="宋体" w:cs="宋体"/>
                <w:b/>
                <w:bCs/>
                <w:color w:val="auto"/>
                <w:sz w:val="21"/>
                <w:szCs w:val="21"/>
                <w:highlight w:val="none"/>
                <w:lang w:val="zh-CN"/>
              </w:rPr>
              <w:t>评审标准</w:t>
            </w:r>
          </w:p>
        </w:tc>
      </w:tr>
      <w:tr w14:paraId="1DB4FBB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58" w:type="dxa"/>
            <w:vMerge w:val="restart"/>
            <w:tcBorders>
              <w:top w:val="single" w:color="auto" w:sz="4" w:space="0"/>
              <w:right w:val="single" w:color="auto" w:sz="4" w:space="0"/>
            </w:tcBorders>
            <w:noWrap w:val="0"/>
            <w:vAlign w:val="center"/>
          </w:tcPr>
          <w:p w14:paraId="2B8DB4D3">
            <w:pPr>
              <w:keepNext w:val="0"/>
              <w:keepLines w:val="0"/>
              <w:pageBreakBefore w:val="0"/>
              <w:widowControl w:val="0"/>
              <w:shd w:val="clear" w:color="auto" w:fill="auto"/>
              <w:kinsoku/>
              <w:wordWrap/>
              <w:overflowPunct/>
              <w:topLinePunct w:val="0"/>
              <w:bidi w:val="0"/>
              <w:spacing w:line="360" w:lineRule="exact"/>
              <w:ind w:left="0" w:lef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2.1.1</w:t>
            </w:r>
          </w:p>
        </w:tc>
        <w:tc>
          <w:tcPr>
            <w:tcW w:w="1163" w:type="dxa"/>
            <w:vMerge w:val="restart"/>
            <w:tcBorders>
              <w:top w:val="single" w:color="auto" w:sz="4" w:space="0"/>
              <w:right w:val="single" w:color="auto" w:sz="4" w:space="0"/>
            </w:tcBorders>
            <w:noWrap w:val="0"/>
            <w:vAlign w:val="center"/>
          </w:tcPr>
          <w:p w14:paraId="2FDEF99D">
            <w:pPr>
              <w:keepNext w:val="0"/>
              <w:keepLines w:val="0"/>
              <w:pageBreakBefore w:val="0"/>
              <w:widowControl w:val="0"/>
              <w:shd w:val="clear" w:color="auto" w:fill="auto"/>
              <w:kinsoku/>
              <w:wordWrap/>
              <w:overflowPunct/>
              <w:topLinePunct w:val="0"/>
              <w:bidi w:val="0"/>
              <w:spacing w:line="360" w:lineRule="exact"/>
              <w:ind w:left="0" w:lef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形式评审标准</w:t>
            </w:r>
          </w:p>
        </w:tc>
        <w:tc>
          <w:tcPr>
            <w:tcW w:w="2129" w:type="dxa"/>
            <w:tcBorders>
              <w:top w:val="single" w:color="auto" w:sz="4" w:space="0"/>
              <w:left w:val="single" w:color="auto" w:sz="4" w:space="0"/>
              <w:bottom w:val="single" w:color="auto" w:sz="4" w:space="0"/>
              <w:right w:val="single" w:color="auto" w:sz="4" w:space="0"/>
            </w:tcBorders>
            <w:noWrap w:val="0"/>
            <w:vAlign w:val="center"/>
          </w:tcPr>
          <w:p w14:paraId="75709C73">
            <w:pPr>
              <w:keepNext w:val="0"/>
              <w:keepLines w:val="0"/>
              <w:pageBreakBefore w:val="0"/>
              <w:widowControl w:val="0"/>
              <w:shd w:val="clear" w:color="auto" w:fill="auto"/>
              <w:kinsoku/>
              <w:wordWrap/>
              <w:overflowPunct/>
              <w:topLinePunct w:val="0"/>
              <w:bidi w:val="0"/>
              <w:spacing w:line="360" w:lineRule="exact"/>
              <w:ind w:left="0" w:leftChars="0" w:firstLine="0" w:firstLineChars="0"/>
              <w:jc w:val="center"/>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eastAsia="zh-CN"/>
              </w:rPr>
              <w:t>投标人</w:t>
            </w:r>
            <w:r>
              <w:rPr>
                <w:rFonts w:hint="eastAsia" w:ascii="宋体" w:hAnsi="宋体" w:eastAsia="宋体" w:cs="宋体"/>
                <w:color w:val="auto"/>
                <w:sz w:val="21"/>
                <w:szCs w:val="21"/>
                <w:highlight w:val="none"/>
              </w:rPr>
              <w:t>名称</w:t>
            </w:r>
          </w:p>
        </w:tc>
        <w:tc>
          <w:tcPr>
            <w:tcW w:w="4989" w:type="dxa"/>
            <w:tcBorders>
              <w:top w:val="single" w:color="auto" w:sz="4" w:space="0"/>
              <w:left w:val="single" w:color="auto" w:sz="4" w:space="0"/>
              <w:bottom w:val="single" w:color="auto" w:sz="4" w:space="0"/>
              <w:right w:val="single" w:color="auto" w:sz="4" w:space="0"/>
            </w:tcBorders>
            <w:noWrap w:val="0"/>
            <w:vAlign w:val="center"/>
          </w:tcPr>
          <w:p w14:paraId="74C8BF0D">
            <w:pPr>
              <w:keepNext w:val="0"/>
              <w:keepLines w:val="0"/>
              <w:pageBreakBefore w:val="0"/>
              <w:widowControl w:val="0"/>
              <w:shd w:val="clear" w:color="auto" w:fill="auto"/>
              <w:kinsoku/>
              <w:wordWrap/>
              <w:overflowPunct/>
              <w:topLinePunct w:val="0"/>
              <w:bidi w:val="0"/>
              <w:spacing w:line="360" w:lineRule="exact"/>
              <w:ind w:left="0" w:lef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与营业执照</w:t>
            </w:r>
            <w:r>
              <w:rPr>
                <w:rFonts w:hint="eastAsia" w:hAnsi="宋体" w:cs="宋体"/>
                <w:color w:val="auto"/>
                <w:sz w:val="21"/>
                <w:szCs w:val="21"/>
                <w:highlight w:val="none"/>
                <w:lang w:val="en-US" w:eastAsia="zh-CN"/>
              </w:rPr>
              <w:t>一致</w:t>
            </w:r>
            <w:r>
              <w:rPr>
                <w:rFonts w:hint="eastAsia" w:ascii="宋体" w:hAnsi="宋体" w:eastAsia="宋体" w:cs="宋体"/>
                <w:color w:val="auto"/>
                <w:sz w:val="21"/>
                <w:szCs w:val="21"/>
                <w:highlight w:val="none"/>
              </w:rPr>
              <w:t>。</w:t>
            </w:r>
          </w:p>
        </w:tc>
      </w:tr>
      <w:tr w14:paraId="4E7529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58" w:type="dxa"/>
            <w:vMerge w:val="continue"/>
            <w:tcBorders>
              <w:right w:val="single" w:color="auto" w:sz="4" w:space="0"/>
            </w:tcBorders>
            <w:noWrap w:val="0"/>
            <w:vAlign w:val="center"/>
          </w:tcPr>
          <w:p w14:paraId="6F7679B4">
            <w:pPr>
              <w:keepNext w:val="0"/>
              <w:keepLines w:val="0"/>
              <w:pageBreakBefore w:val="0"/>
              <w:widowControl w:val="0"/>
              <w:shd w:val="clear" w:color="auto" w:fill="auto"/>
              <w:kinsoku/>
              <w:wordWrap/>
              <w:overflowPunct/>
              <w:topLinePunct w:val="0"/>
              <w:bidi w:val="0"/>
              <w:spacing w:line="360" w:lineRule="exact"/>
              <w:jc w:val="center"/>
              <w:textAlignment w:val="auto"/>
              <w:rPr>
                <w:rFonts w:hint="eastAsia" w:ascii="宋体" w:hAnsi="宋体" w:eastAsia="宋体" w:cs="宋体"/>
                <w:color w:val="auto"/>
                <w:sz w:val="21"/>
                <w:szCs w:val="21"/>
                <w:highlight w:val="none"/>
              </w:rPr>
            </w:pPr>
          </w:p>
        </w:tc>
        <w:tc>
          <w:tcPr>
            <w:tcW w:w="1163" w:type="dxa"/>
            <w:vMerge w:val="continue"/>
            <w:tcBorders>
              <w:right w:val="single" w:color="auto" w:sz="4" w:space="0"/>
            </w:tcBorders>
            <w:noWrap w:val="0"/>
            <w:vAlign w:val="center"/>
          </w:tcPr>
          <w:p w14:paraId="722CE11F">
            <w:pPr>
              <w:keepNext w:val="0"/>
              <w:keepLines w:val="0"/>
              <w:pageBreakBefore w:val="0"/>
              <w:widowControl w:val="0"/>
              <w:shd w:val="clear" w:color="auto" w:fill="auto"/>
              <w:kinsoku/>
              <w:wordWrap/>
              <w:overflowPunct/>
              <w:topLinePunct w:val="0"/>
              <w:bidi w:val="0"/>
              <w:spacing w:line="360" w:lineRule="exact"/>
              <w:jc w:val="center"/>
              <w:textAlignment w:val="auto"/>
              <w:rPr>
                <w:rFonts w:hint="eastAsia" w:ascii="宋体" w:hAnsi="宋体" w:eastAsia="宋体" w:cs="宋体"/>
                <w:color w:val="auto"/>
                <w:sz w:val="21"/>
                <w:szCs w:val="21"/>
                <w:highlight w:val="none"/>
              </w:rPr>
            </w:pPr>
          </w:p>
        </w:tc>
        <w:tc>
          <w:tcPr>
            <w:tcW w:w="2129" w:type="dxa"/>
            <w:tcBorders>
              <w:top w:val="single" w:color="auto" w:sz="4" w:space="0"/>
              <w:left w:val="single" w:color="auto" w:sz="4" w:space="0"/>
              <w:bottom w:val="single" w:color="auto" w:sz="4" w:space="0"/>
              <w:right w:val="single" w:color="auto" w:sz="4" w:space="0"/>
            </w:tcBorders>
            <w:noWrap w:val="0"/>
            <w:vAlign w:val="center"/>
          </w:tcPr>
          <w:p w14:paraId="23F46A1C">
            <w:pPr>
              <w:keepNext w:val="0"/>
              <w:keepLines w:val="0"/>
              <w:pageBreakBefore w:val="0"/>
              <w:widowControl w:val="0"/>
              <w:shd w:val="clear" w:color="auto" w:fill="auto"/>
              <w:kinsoku/>
              <w:wordWrap/>
              <w:overflowPunct/>
              <w:topLinePunct w:val="0"/>
              <w:bidi w:val="0"/>
              <w:spacing w:line="360" w:lineRule="exact"/>
              <w:ind w:left="0" w:lef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投标函签字盖章</w:t>
            </w:r>
          </w:p>
        </w:tc>
        <w:tc>
          <w:tcPr>
            <w:tcW w:w="4989" w:type="dxa"/>
            <w:tcBorders>
              <w:top w:val="single" w:color="auto" w:sz="4" w:space="0"/>
              <w:left w:val="single" w:color="auto" w:sz="4" w:space="0"/>
              <w:bottom w:val="single" w:color="auto" w:sz="4" w:space="0"/>
              <w:right w:val="single" w:color="auto" w:sz="4" w:space="0"/>
            </w:tcBorders>
            <w:noWrap w:val="0"/>
            <w:vAlign w:val="center"/>
          </w:tcPr>
          <w:p w14:paraId="7F796E2C">
            <w:pPr>
              <w:keepNext w:val="0"/>
              <w:keepLines w:val="0"/>
              <w:pageBreakBefore w:val="0"/>
              <w:widowControl w:val="0"/>
              <w:shd w:val="clear" w:color="auto" w:fill="auto"/>
              <w:kinsoku/>
              <w:wordWrap/>
              <w:overflowPunct/>
              <w:topLinePunct w:val="0"/>
              <w:bidi w:val="0"/>
              <w:spacing w:line="360" w:lineRule="exact"/>
              <w:ind w:left="0" w:lef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有法定代表人或其委托代理人签字或加盖单位章。由法定代表人签字的，应附法定代表人身份证明，由代理人签字的，应附授权委托书，身份证明或授权委托书应符合第</w:t>
            </w:r>
            <w:r>
              <w:rPr>
                <w:rFonts w:hint="eastAsia" w:ascii="宋体" w:hAnsi="宋体" w:eastAsia="宋体" w:cs="宋体"/>
                <w:color w:val="auto"/>
                <w:sz w:val="21"/>
                <w:szCs w:val="21"/>
                <w:highlight w:val="none"/>
                <w:lang w:eastAsia="zh-CN"/>
              </w:rPr>
              <w:t>六</w:t>
            </w:r>
            <w:r>
              <w:rPr>
                <w:rFonts w:hint="eastAsia" w:ascii="宋体" w:hAnsi="宋体" w:eastAsia="宋体" w:cs="宋体"/>
                <w:color w:val="auto"/>
                <w:sz w:val="21"/>
                <w:szCs w:val="21"/>
                <w:highlight w:val="none"/>
              </w:rPr>
              <w:t>章“</w:t>
            </w:r>
            <w:r>
              <w:rPr>
                <w:rFonts w:hint="eastAsia" w:hAnsi="宋体" w:cs="宋体"/>
                <w:color w:val="auto"/>
                <w:sz w:val="21"/>
                <w:szCs w:val="21"/>
                <w:highlight w:val="none"/>
                <w:lang w:val="en-US" w:eastAsia="zh-CN"/>
              </w:rPr>
              <w:t>招标</w:t>
            </w:r>
            <w:r>
              <w:rPr>
                <w:rFonts w:hint="eastAsia" w:ascii="宋体" w:hAnsi="宋体" w:eastAsia="宋体" w:cs="宋体"/>
                <w:color w:val="auto"/>
                <w:sz w:val="21"/>
                <w:szCs w:val="21"/>
                <w:highlight w:val="none"/>
              </w:rPr>
              <w:t>文件格式”的规定</w:t>
            </w:r>
            <w:r>
              <w:rPr>
                <w:rFonts w:hint="eastAsia" w:ascii="宋体" w:hAnsi="宋体" w:eastAsia="宋体" w:cs="宋体"/>
                <w:color w:val="auto"/>
                <w:sz w:val="21"/>
                <w:szCs w:val="21"/>
                <w:highlight w:val="none"/>
                <w:lang w:eastAsia="zh-CN"/>
              </w:rPr>
              <w:t>。</w:t>
            </w:r>
          </w:p>
        </w:tc>
      </w:tr>
      <w:tr w14:paraId="7B3DD1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58" w:type="dxa"/>
            <w:vMerge w:val="continue"/>
            <w:tcBorders>
              <w:right w:val="single" w:color="auto" w:sz="4" w:space="0"/>
            </w:tcBorders>
            <w:noWrap w:val="0"/>
            <w:vAlign w:val="center"/>
          </w:tcPr>
          <w:p w14:paraId="4BCBBC37">
            <w:pPr>
              <w:keepNext w:val="0"/>
              <w:keepLines w:val="0"/>
              <w:pageBreakBefore w:val="0"/>
              <w:widowControl w:val="0"/>
              <w:shd w:val="clear" w:color="auto" w:fill="auto"/>
              <w:kinsoku/>
              <w:wordWrap/>
              <w:overflowPunct/>
              <w:topLinePunct w:val="0"/>
              <w:bidi w:val="0"/>
              <w:spacing w:line="360" w:lineRule="exact"/>
              <w:jc w:val="center"/>
              <w:textAlignment w:val="auto"/>
              <w:rPr>
                <w:rFonts w:hint="eastAsia" w:ascii="宋体" w:hAnsi="宋体" w:eastAsia="宋体" w:cs="宋体"/>
                <w:color w:val="auto"/>
                <w:sz w:val="21"/>
                <w:szCs w:val="21"/>
                <w:highlight w:val="none"/>
              </w:rPr>
            </w:pPr>
          </w:p>
        </w:tc>
        <w:tc>
          <w:tcPr>
            <w:tcW w:w="1163" w:type="dxa"/>
            <w:vMerge w:val="continue"/>
            <w:tcBorders>
              <w:right w:val="single" w:color="auto" w:sz="4" w:space="0"/>
            </w:tcBorders>
            <w:noWrap w:val="0"/>
            <w:vAlign w:val="center"/>
          </w:tcPr>
          <w:p w14:paraId="03DFAFA0">
            <w:pPr>
              <w:keepNext w:val="0"/>
              <w:keepLines w:val="0"/>
              <w:pageBreakBefore w:val="0"/>
              <w:widowControl w:val="0"/>
              <w:shd w:val="clear" w:color="auto" w:fill="auto"/>
              <w:kinsoku/>
              <w:wordWrap/>
              <w:overflowPunct/>
              <w:topLinePunct w:val="0"/>
              <w:bidi w:val="0"/>
              <w:spacing w:line="360" w:lineRule="exact"/>
              <w:jc w:val="center"/>
              <w:textAlignment w:val="auto"/>
              <w:rPr>
                <w:rFonts w:hint="eastAsia" w:ascii="宋体" w:hAnsi="宋体" w:eastAsia="宋体" w:cs="宋体"/>
                <w:color w:val="auto"/>
                <w:sz w:val="21"/>
                <w:szCs w:val="21"/>
                <w:highlight w:val="none"/>
              </w:rPr>
            </w:pPr>
          </w:p>
        </w:tc>
        <w:tc>
          <w:tcPr>
            <w:tcW w:w="2129" w:type="dxa"/>
            <w:tcBorders>
              <w:top w:val="single" w:color="auto" w:sz="4" w:space="0"/>
              <w:left w:val="single" w:color="auto" w:sz="4" w:space="0"/>
              <w:bottom w:val="single" w:color="auto" w:sz="4" w:space="0"/>
              <w:right w:val="single" w:color="auto" w:sz="4" w:space="0"/>
            </w:tcBorders>
            <w:noWrap w:val="0"/>
            <w:vAlign w:val="center"/>
          </w:tcPr>
          <w:p w14:paraId="4BA99687">
            <w:pPr>
              <w:keepNext w:val="0"/>
              <w:keepLines w:val="0"/>
              <w:pageBreakBefore w:val="0"/>
              <w:widowControl w:val="0"/>
              <w:shd w:val="clear" w:color="auto" w:fill="auto"/>
              <w:kinsoku/>
              <w:wordWrap/>
              <w:overflowPunct/>
              <w:topLinePunct w:val="0"/>
              <w:bidi w:val="0"/>
              <w:spacing w:line="360" w:lineRule="exact"/>
              <w:ind w:left="0" w:leftChars="0" w:firstLine="0" w:firstLineChars="0"/>
              <w:jc w:val="center"/>
              <w:textAlignment w:val="auto"/>
              <w:rPr>
                <w:rFonts w:hint="eastAsia" w:ascii="宋体" w:hAnsi="宋体" w:eastAsia="宋体" w:cs="宋体"/>
                <w:color w:val="auto"/>
                <w:sz w:val="21"/>
                <w:szCs w:val="21"/>
                <w:highlight w:val="none"/>
              </w:rPr>
            </w:pPr>
            <w:r>
              <w:rPr>
                <w:rFonts w:hint="eastAsia" w:hAnsi="宋体" w:cs="宋体"/>
                <w:color w:val="auto"/>
                <w:sz w:val="21"/>
                <w:szCs w:val="21"/>
                <w:highlight w:val="none"/>
                <w:lang w:val="en-US" w:eastAsia="zh-CN"/>
              </w:rPr>
              <w:t>投标文件</w:t>
            </w:r>
            <w:r>
              <w:rPr>
                <w:rFonts w:hint="eastAsia" w:ascii="宋体" w:hAnsi="宋体" w:eastAsia="宋体" w:cs="宋体"/>
                <w:color w:val="auto"/>
                <w:sz w:val="21"/>
                <w:szCs w:val="21"/>
                <w:highlight w:val="none"/>
              </w:rPr>
              <w:t>格式</w:t>
            </w:r>
          </w:p>
        </w:tc>
        <w:tc>
          <w:tcPr>
            <w:tcW w:w="4989" w:type="dxa"/>
            <w:tcBorders>
              <w:top w:val="single" w:color="auto" w:sz="4" w:space="0"/>
              <w:left w:val="single" w:color="auto" w:sz="4" w:space="0"/>
              <w:bottom w:val="single" w:color="auto" w:sz="4" w:space="0"/>
              <w:right w:val="single" w:color="auto" w:sz="4" w:space="0"/>
            </w:tcBorders>
            <w:noWrap w:val="0"/>
            <w:vAlign w:val="center"/>
          </w:tcPr>
          <w:p w14:paraId="62CF2EEF">
            <w:pPr>
              <w:keepNext w:val="0"/>
              <w:keepLines w:val="0"/>
              <w:pageBreakBefore w:val="0"/>
              <w:widowControl w:val="0"/>
              <w:shd w:val="clear" w:color="auto" w:fill="auto"/>
              <w:kinsoku/>
              <w:wordWrap/>
              <w:overflowPunct/>
              <w:topLinePunct w:val="0"/>
              <w:bidi w:val="0"/>
              <w:spacing w:line="360" w:lineRule="exact"/>
              <w:ind w:left="0" w:lef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符合第</w:t>
            </w:r>
            <w:r>
              <w:rPr>
                <w:rFonts w:hint="eastAsia" w:ascii="宋体" w:hAnsi="宋体" w:eastAsia="宋体" w:cs="宋体"/>
                <w:color w:val="auto"/>
                <w:sz w:val="21"/>
                <w:szCs w:val="21"/>
                <w:highlight w:val="none"/>
                <w:lang w:eastAsia="zh-CN"/>
              </w:rPr>
              <w:t>六</w:t>
            </w:r>
            <w:r>
              <w:rPr>
                <w:rFonts w:hint="eastAsia" w:ascii="宋体" w:hAnsi="宋体" w:eastAsia="宋体" w:cs="宋体"/>
                <w:color w:val="auto"/>
                <w:sz w:val="21"/>
                <w:szCs w:val="21"/>
                <w:highlight w:val="none"/>
              </w:rPr>
              <w:t>章“</w:t>
            </w:r>
            <w:r>
              <w:rPr>
                <w:rFonts w:hint="eastAsia" w:hAnsi="宋体" w:cs="宋体"/>
                <w:color w:val="auto"/>
                <w:sz w:val="21"/>
                <w:szCs w:val="21"/>
                <w:highlight w:val="none"/>
                <w:lang w:val="en-US" w:eastAsia="zh-CN"/>
              </w:rPr>
              <w:t>投标文件</w:t>
            </w:r>
            <w:r>
              <w:rPr>
                <w:rFonts w:hint="eastAsia" w:ascii="宋体" w:hAnsi="宋体" w:eastAsia="宋体" w:cs="宋体"/>
                <w:color w:val="auto"/>
                <w:sz w:val="21"/>
                <w:szCs w:val="21"/>
                <w:highlight w:val="none"/>
              </w:rPr>
              <w:t>格式”的要求。</w:t>
            </w:r>
          </w:p>
        </w:tc>
      </w:tr>
      <w:tr w14:paraId="267E880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58" w:type="dxa"/>
            <w:vMerge w:val="continue"/>
            <w:tcBorders>
              <w:bottom w:val="single" w:color="auto" w:sz="4" w:space="0"/>
              <w:right w:val="single" w:color="auto" w:sz="4" w:space="0"/>
            </w:tcBorders>
            <w:noWrap w:val="0"/>
            <w:vAlign w:val="center"/>
          </w:tcPr>
          <w:p w14:paraId="51750E6B">
            <w:pPr>
              <w:keepNext w:val="0"/>
              <w:keepLines w:val="0"/>
              <w:pageBreakBefore w:val="0"/>
              <w:widowControl w:val="0"/>
              <w:shd w:val="clear" w:color="auto" w:fill="auto"/>
              <w:kinsoku/>
              <w:wordWrap/>
              <w:overflowPunct/>
              <w:topLinePunct w:val="0"/>
              <w:bidi w:val="0"/>
              <w:spacing w:line="360" w:lineRule="exact"/>
              <w:jc w:val="center"/>
              <w:textAlignment w:val="auto"/>
              <w:rPr>
                <w:rFonts w:hint="eastAsia" w:ascii="宋体" w:hAnsi="宋体" w:eastAsia="宋体" w:cs="宋体"/>
                <w:color w:val="auto"/>
                <w:sz w:val="21"/>
                <w:szCs w:val="21"/>
                <w:highlight w:val="none"/>
              </w:rPr>
            </w:pPr>
          </w:p>
        </w:tc>
        <w:tc>
          <w:tcPr>
            <w:tcW w:w="1163" w:type="dxa"/>
            <w:vMerge w:val="continue"/>
            <w:tcBorders>
              <w:bottom w:val="single" w:color="auto" w:sz="4" w:space="0"/>
              <w:right w:val="single" w:color="auto" w:sz="4" w:space="0"/>
            </w:tcBorders>
            <w:noWrap w:val="0"/>
            <w:vAlign w:val="center"/>
          </w:tcPr>
          <w:p w14:paraId="38E11B03">
            <w:pPr>
              <w:keepNext w:val="0"/>
              <w:keepLines w:val="0"/>
              <w:pageBreakBefore w:val="0"/>
              <w:widowControl w:val="0"/>
              <w:shd w:val="clear" w:color="auto" w:fill="auto"/>
              <w:kinsoku/>
              <w:wordWrap/>
              <w:overflowPunct/>
              <w:topLinePunct w:val="0"/>
              <w:bidi w:val="0"/>
              <w:spacing w:line="360" w:lineRule="exact"/>
              <w:jc w:val="center"/>
              <w:textAlignment w:val="auto"/>
              <w:rPr>
                <w:rFonts w:hint="eastAsia" w:ascii="宋体" w:hAnsi="宋体" w:eastAsia="宋体" w:cs="宋体"/>
                <w:color w:val="auto"/>
                <w:sz w:val="21"/>
                <w:szCs w:val="21"/>
                <w:highlight w:val="none"/>
              </w:rPr>
            </w:pPr>
          </w:p>
        </w:tc>
        <w:tc>
          <w:tcPr>
            <w:tcW w:w="2129" w:type="dxa"/>
            <w:tcBorders>
              <w:top w:val="single" w:color="auto" w:sz="4" w:space="0"/>
              <w:left w:val="single" w:color="auto" w:sz="4" w:space="0"/>
              <w:bottom w:val="single" w:color="auto" w:sz="4" w:space="0"/>
              <w:right w:val="single" w:color="auto" w:sz="4" w:space="0"/>
            </w:tcBorders>
            <w:noWrap w:val="0"/>
            <w:vAlign w:val="center"/>
          </w:tcPr>
          <w:p w14:paraId="5DE257FC">
            <w:pPr>
              <w:keepNext w:val="0"/>
              <w:keepLines w:val="0"/>
              <w:pageBreakBefore w:val="0"/>
              <w:widowControl w:val="0"/>
              <w:shd w:val="clear" w:color="auto" w:fill="auto"/>
              <w:kinsoku/>
              <w:wordWrap/>
              <w:overflowPunct/>
              <w:topLinePunct w:val="0"/>
              <w:bidi w:val="0"/>
              <w:spacing w:line="360" w:lineRule="exact"/>
              <w:ind w:left="0" w:lef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报价唯一</w:t>
            </w:r>
          </w:p>
        </w:tc>
        <w:tc>
          <w:tcPr>
            <w:tcW w:w="4989" w:type="dxa"/>
            <w:tcBorders>
              <w:top w:val="single" w:color="auto" w:sz="4" w:space="0"/>
              <w:left w:val="single" w:color="auto" w:sz="4" w:space="0"/>
              <w:bottom w:val="single" w:color="auto" w:sz="4" w:space="0"/>
              <w:right w:val="single" w:color="auto" w:sz="4" w:space="0"/>
            </w:tcBorders>
            <w:noWrap w:val="0"/>
            <w:vAlign w:val="center"/>
          </w:tcPr>
          <w:p w14:paraId="5E5BF262">
            <w:pPr>
              <w:keepNext w:val="0"/>
              <w:keepLines w:val="0"/>
              <w:pageBreakBefore w:val="0"/>
              <w:widowControl w:val="0"/>
              <w:shd w:val="clear" w:color="auto" w:fill="auto"/>
              <w:kinsoku/>
              <w:wordWrap/>
              <w:overflowPunct/>
              <w:topLinePunct w:val="0"/>
              <w:bidi w:val="0"/>
              <w:spacing w:line="360" w:lineRule="exact"/>
              <w:ind w:left="0" w:lef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只能有一个有效报价。</w:t>
            </w:r>
          </w:p>
        </w:tc>
      </w:tr>
      <w:tr w14:paraId="2CA1D6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58" w:type="dxa"/>
            <w:vMerge w:val="restart"/>
            <w:tcBorders>
              <w:top w:val="single" w:color="auto" w:sz="4" w:space="0"/>
              <w:right w:val="single" w:color="auto" w:sz="4" w:space="0"/>
            </w:tcBorders>
            <w:noWrap w:val="0"/>
            <w:vAlign w:val="center"/>
          </w:tcPr>
          <w:p w14:paraId="1B8210DE">
            <w:pPr>
              <w:keepNext w:val="0"/>
              <w:keepLines w:val="0"/>
              <w:pageBreakBefore w:val="0"/>
              <w:widowControl w:val="0"/>
              <w:shd w:val="clear" w:color="auto" w:fill="auto"/>
              <w:kinsoku/>
              <w:wordWrap/>
              <w:overflowPunct/>
              <w:topLinePunct w:val="0"/>
              <w:bidi w:val="0"/>
              <w:spacing w:line="360" w:lineRule="exact"/>
              <w:ind w:left="0" w:lef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2.1.2</w:t>
            </w:r>
          </w:p>
        </w:tc>
        <w:tc>
          <w:tcPr>
            <w:tcW w:w="1163" w:type="dxa"/>
            <w:vMerge w:val="restart"/>
            <w:tcBorders>
              <w:top w:val="single" w:color="auto" w:sz="4" w:space="0"/>
              <w:right w:val="single" w:color="auto" w:sz="4" w:space="0"/>
            </w:tcBorders>
            <w:noWrap w:val="0"/>
            <w:vAlign w:val="center"/>
          </w:tcPr>
          <w:p w14:paraId="7AFFAFDD">
            <w:pPr>
              <w:keepNext w:val="0"/>
              <w:keepLines w:val="0"/>
              <w:pageBreakBefore w:val="0"/>
              <w:widowControl w:val="0"/>
              <w:shd w:val="clear" w:color="auto" w:fill="auto"/>
              <w:kinsoku/>
              <w:wordWrap/>
              <w:overflowPunct/>
              <w:topLinePunct w:val="0"/>
              <w:bidi w:val="0"/>
              <w:spacing w:line="360" w:lineRule="exact"/>
              <w:ind w:left="0" w:lef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资格评审标准</w:t>
            </w:r>
          </w:p>
        </w:tc>
        <w:tc>
          <w:tcPr>
            <w:tcW w:w="2129" w:type="dxa"/>
            <w:tcBorders>
              <w:top w:val="single" w:color="auto" w:sz="4" w:space="0"/>
              <w:left w:val="single" w:color="auto" w:sz="4" w:space="0"/>
              <w:bottom w:val="single" w:color="auto" w:sz="4" w:space="0"/>
              <w:right w:val="single" w:color="auto" w:sz="4" w:space="0"/>
            </w:tcBorders>
            <w:noWrap w:val="0"/>
            <w:vAlign w:val="center"/>
          </w:tcPr>
          <w:p w14:paraId="5C4D2ECD">
            <w:pPr>
              <w:keepNext w:val="0"/>
              <w:keepLines w:val="0"/>
              <w:pageBreakBefore w:val="0"/>
              <w:widowControl w:val="0"/>
              <w:shd w:val="clear" w:color="auto" w:fill="auto"/>
              <w:kinsoku/>
              <w:wordWrap/>
              <w:overflowPunct/>
              <w:topLinePunct w:val="0"/>
              <w:bidi w:val="0"/>
              <w:spacing w:line="360" w:lineRule="exact"/>
              <w:ind w:left="0" w:lef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4989" w:type="dxa"/>
            <w:tcBorders>
              <w:top w:val="single" w:color="auto" w:sz="4" w:space="0"/>
              <w:left w:val="single" w:color="auto" w:sz="4" w:space="0"/>
              <w:bottom w:val="single" w:color="auto" w:sz="4" w:space="0"/>
              <w:right w:val="single" w:color="auto" w:sz="4" w:space="0"/>
            </w:tcBorders>
            <w:noWrap w:val="0"/>
            <w:vAlign w:val="center"/>
          </w:tcPr>
          <w:p w14:paraId="6EC7882E">
            <w:pPr>
              <w:keepNext w:val="0"/>
              <w:keepLines w:val="0"/>
              <w:pageBreakBefore w:val="0"/>
              <w:widowControl w:val="0"/>
              <w:shd w:val="clear" w:color="auto" w:fill="auto"/>
              <w:kinsoku/>
              <w:wordWrap/>
              <w:overflowPunct/>
              <w:topLinePunct w:val="0"/>
              <w:bidi w:val="0"/>
              <w:spacing w:line="360" w:lineRule="exact"/>
              <w:ind w:left="0" w:leftChars="0" w:firstLine="0" w:firstLineChars="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具备有效的营业执照</w:t>
            </w:r>
            <w:r>
              <w:rPr>
                <w:rFonts w:hint="eastAsia" w:ascii="宋体" w:hAnsi="宋体" w:eastAsia="宋体" w:cs="宋体"/>
                <w:color w:val="auto"/>
                <w:sz w:val="21"/>
                <w:szCs w:val="21"/>
                <w:highlight w:val="none"/>
                <w:lang w:eastAsia="zh-CN"/>
              </w:rPr>
              <w:t>；</w:t>
            </w:r>
          </w:p>
          <w:p w14:paraId="64F9916A">
            <w:pPr>
              <w:keepNext w:val="0"/>
              <w:keepLines w:val="0"/>
              <w:pageBreakBefore w:val="0"/>
              <w:widowControl w:val="0"/>
              <w:shd w:val="clear" w:color="auto" w:fill="auto"/>
              <w:kinsoku/>
              <w:wordWrap/>
              <w:overflowPunct/>
              <w:topLinePunct w:val="0"/>
              <w:bidi w:val="0"/>
              <w:spacing w:line="360" w:lineRule="exact"/>
              <w:ind w:left="0" w:leftChars="0" w:firstLine="0" w:firstLineChars="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rPr>
              <w:t>文件内附营业执照（副本）复印件</w:t>
            </w:r>
          </w:p>
        </w:tc>
      </w:tr>
      <w:tr w14:paraId="0980D2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58" w:type="dxa"/>
            <w:vMerge w:val="continue"/>
            <w:tcBorders>
              <w:right w:val="single" w:color="auto" w:sz="4" w:space="0"/>
            </w:tcBorders>
            <w:noWrap w:val="0"/>
            <w:vAlign w:val="center"/>
          </w:tcPr>
          <w:p w14:paraId="252D822B">
            <w:pPr>
              <w:keepNext w:val="0"/>
              <w:keepLines w:val="0"/>
              <w:pageBreakBefore w:val="0"/>
              <w:widowControl w:val="0"/>
              <w:shd w:val="clear" w:color="auto" w:fill="auto"/>
              <w:kinsoku/>
              <w:wordWrap/>
              <w:overflowPunct/>
              <w:topLinePunct w:val="0"/>
              <w:bidi w:val="0"/>
              <w:spacing w:line="360" w:lineRule="exact"/>
              <w:jc w:val="center"/>
              <w:textAlignment w:val="auto"/>
              <w:rPr>
                <w:rFonts w:hint="eastAsia" w:ascii="宋体" w:hAnsi="宋体" w:eastAsia="宋体" w:cs="宋体"/>
                <w:color w:val="auto"/>
                <w:sz w:val="21"/>
                <w:szCs w:val="21"/>
                <w:highlight w:val="none"/>
              </w:rPr>
            </w:pPr>
          </w:p>
        </w:tc>
        <w:tc>
          <w:tcPr>
            <w:tcW w:w="1163" w:type="dxa"/>
            <w:vMerge w:val="continue"/>
            <w:tcBorders>
              <w:right w:val="single" w:color="auto" w:sz="4" w:space="0"/>
            </w:tcBorders>
            <w:noWrap w:val="0"/>
            <w:vAlign w:val="center"/>
          </w:tcPr>
          <w:p w14:paraId="160FB34A">
            <w:pPr>
              <w:keepNext w:val="0"/>
              <w:keepLines w:val="0"/>
              <w:pageBreakBefore w:val="0"/>
              <w:widowControl w:val="0"/>
              <w:shd w:val="clear" w:color="auto" w:fill="auto"/>
              <w:kinsoku/>
              <w:wordWrap/>
              <w:overflowPunct/>
              <w:topLinePunct w:val="0"/>
              <w:bidi w:val="0"/>
              <w:spacing w:line="360" w:lineRule="exact"/>
              <w:jc w:val="center"/>
              <w:textAlignment w:val="auto"/>
              <w:rPr>
                <w:rFonts w:hint="eastAsia" w:ascii="宋体" w:hAnsi="宋体" w:eastAsia="宋体" w:cs="宋体"/>
                <w:color w:val="auto"/>
                <w:sz w:val="21"/>
                <w:szCs w:val="21"/>
                <w:highlight w:val="none"/>
              </w:rPr>
            </w:pPr>
          </w:p>
        </w:tc>
        <w:tc>
          <w:tcPr>
            <w:tcW w:w="2129" w:type="dxa"/>
            <w:tcBorders>
              <w:top w:val="single" w:color="auto" w:sz="4" w:space="0"/>
              <w:left w:val="single" w:color="auto" w:sz="4" w:space="0"/>
              <w:bottom w:val="single" w:color="auto" w:sz="4" w:space="0"/>
              <w:right w:val="single" w:color="auto" w:sz="4" w:space="0"/>
            </w:tcBorders>
            <w:noWrap w:val="0"/>
            <w:vAlign w:val="center"/>
          </w:tcPr>
          <w:p w14:paraId="7892894F">
            <w:pPr>
              <w:keepNext w:val="0"/>
              <w:keepLines w:val="0"/>
              <w:pageBreakBefore w:val="0"/>
              <w:widowControl w:val="0"/>
              <w:shd w:val="clear" w:color="auto" w:fill="auto"/>
              <w:kinsoku/>
              <w:wordWrap/>
              <w:overflowPunct/>
              <w:topLinePunct w:val="0"/>
              <w:bidi w:val="0"/>
              <w:spacing w:line="360" w:lineRule="exact"/>
              <w:ind w:left="0" w:leftChars="0" w:firstLine="0" w:firstLineChars="0"/>
              <w:jc w:val="center"/>
              <w:textAlignment w:val="auto"/>
              <w:rPr>
                <w:rFonts w:hint="eastAsia" w:ascii="宋体" w:hAnsi="宋体" w:eastAsia="宋体" w:cs="宋体"/>
                <w:color w:val="auto"/>
                <w:sz w:val="21"/>
                <w:szCs w:val="21"/>
                <w:highlight w:val="none"/>
              </w:rPr>
            </w:pPr>
            <w:r>
              <w:rPr>
                <w:rFonts w:hint="eastAsia" w:hAnsi="宋体" w:cs="宋体"/>
                <w:color w:val="auto"/>
                <w:szCs w:val="21"/>
                <w:highlight w:val="none"/>
              </w:rPr>
              <w:t>财务、税收、社保要求</w:t>
            </w:r>
          </w:p>
        </w:tc>
        <w:tc>
          <w:tcPr>
            <w:tcW w:w="4989" w:type="dxa"/>
            <w:tcBorders>
              <w:top w:val="single" w:color="auto" w:sz="4" w:space="0"/>
              <w:left w:val="single" w:color="auto" w:sz="4" w:space="0"/>
              <w:bottom w:val="single" w:color="auto" w:sz="4" w:space="0"/>
              <w:right w:val="single" w:color="auto" w:sz="4" w:space="0"/>
            </w:tcBorders>
            <w:noWrap w:val="0"/>
            <w:vAlign w:val="center"/>
          </w:tcPr>
          <w:p w14:paraId="552F8407">
            <w:pPr>
              <w:keepNext w:val="0"/>
              <w:keepLines w:val="0"/>
              <w:pageBreakBefore w:val="0"/>
              <w:widowControl w:val="0"/>
              <w:shd w:val="clear" w:color="auto" w:fill="auto"/>
              <w:kinsoku/>
              <w:wordWrap/>
              <w:overflowPunct/>
              <w:topLinePunct w:val="0"/>
              <w:bidi w:val="0"/>
              <w:spacing w:line="360" w:lineRule="exact"/>
              <w:ind w:left="0" w:leftChars="0" w:firstLine="0" w:firstLineChars="0"/>
              <w:jc w:val="left"/>
              <w:textAlignment w:val="auto"/>
              <w:rPr>
                <w:rFonts w:hint="eastAsia" w:ascii="宋体" w:hAnsi="宋体" w:eastAsia="宋体" w:cs="宋体"/>
                <w:color w:val="auto"/>
                <w:sz w:val="21"/>
                <w:szCs w:val="21"/>
                <w:highlight w:val="none"/>
                <w:lang w:eastAsia="zh-CN"/>
              </w:rPr>
            </w:pPr>
            <w:r>
              <w:rPr>
                <w:rFonts w:hint="eastAsia" w:hAnsi="宋体" w:cs="宋体"/>
                <w:color w:val="auto"/>
                <w:sz w:val="21"/>
                <w:szCs w:val="21"/>
                <w:highlight w:val="none"/>
                <w:lang w:eastAsia="zh-CN"/>
              </w:rPr>
              <w:t>投标人</w:t>
            </w:r>
            <w:r>
              <w:rPr>
                <w:rFonts w:hint="eastAsia" w:ascii="宋体" w:hAnsi="宋体" w:eastAsia="宋体" w:cs="宋体"/>
                <w:color w:val="auto"/>
                <w:sz w:val="21"/>
                <w:szCs w:val="21"/>
                <w:highlight w:val="none"/>
              </w:rPr>
              <w:t>参加投标活动应当提交反映其财务状况、依法缴纳税收和社保保障资金情况的资格条件承诺函</w:t>
            </w:r>
            <w:r>
              <w:rPr>
                <w:rFonts w:hint="eastAsia" w:ascii="宋体" w:hAnsi="宋体" w:cs="宋体"/>
                <w:color w:val="auto"/>
                <w:sz w:val="21"/>
                <w:szCs w:val="21"/>
                <w:highlight w:val="none"/>
                <w:lang w:eastAsia="zh-CN"/>
              </w:rPr>
              <w:t>。</w:t>
            </w:r>
          </w:p>
        </w:tc>
      </w:tr>
      <w:tr w14:paraId="2434CC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58" w:type="dxa"/>
            <w:vMerge w:val="continue"/>
            <w:tcBorders>
              <w:right w:val="single" w:color="auto" w:sz="4" w:space="0"/>
            </w:tcBorders>
            <w:noWrap w:val="0"/>
            <w:vAlign w:val="center"/>
          </w:tcPr>
          <w:p w14:paraId="007863DC">
            <w:pPr>
              <w:keepNext w:val="0"/>
              <w:keepLines w:val="0"/>
              <w:pageBreakBefore w:val="0"/>
              <w:widowControl w:val="0"/>
              <w:shd w:val="clear" w:color="auto" w:fill="auto"/>
              <w:kinsoku/>
              <w:wordWrap/>
              <w:overflowPunct/>
              <w:topLinePunct w:val="0"/>
              <w:bidi w:val="0"/>
              <w:spacing w:line="360" w:lineRule="exact"/>
              <w:jc w:val="center"/>
              <w:textAlignment w:val="auto"/>
              <w:rPr>
                <w:rFonts w:hint="eastAsia" w:ascii="宋体" w:hAnsi="宋体" w:eastAsia="宋体" w:cs="宋体"/>
                <w:color w:val="auto"/>
                <w:sz w:val="21"/>
                <w:szCs w:val="21"/>
                <w:highlight w:val="none"/>
              </w:rPr>
            </w:pPr>
          </w:p>
        </w:tc>
        <w:tc>
          <w:tcPr>
            <w:tcW w:w="1163" w:type="dxa"/>
            <w:vMerge w:val="continue"/>
            <w:tcBorders>
              <w:right w:val="single" w:color="auto" w:sz="4" w:space="0"/>
            </w:tcBorders>
            <w:noWrap w:val="0"/>
            <w:vAlign w:val="center"/>
          </w:tcPr>
          <w:p w14:paraId="4D919828">
            <w:pPr>
              <w:keepNext w:val="0"/>
              <w:keepLines w:val="0"/>
              <w:pageBreakBefore w:val="0"/>
              <w:widowControl w:val="0"/>
              <w:shd w:val="clear" w:color="auto" w:fill="auto"/>
              <w:kinsoku/>
              <w:wordWrap/>
              <w:overflowPunct/>
              <w:topLinePunct w:val="0"/>
              <w:bidi w:val="0"/>
              <w:spacing w:line="360" w:lineRule="exact"/>
              <w:jc w:val="center"/>
              <w:textAlignment w:val="auto"/>
              <w:rPr>
                <w:rFonts w:hint="eastAsia" w:ascii="宋体" w:hAnsi="宋体" w:eastAsia="宋体" w:cs="宋体"/>
                <w:color w:val="auto"/>
                <w:sz w:val="21"/>
                <w:szCs w:val="21"/>
                <w:highlight w:val="none"/>
              </w:rPr>
            </w:pPr>
          </w:p>
        </w:tc>
        <w:tc>
          <w:tcPr>
            <w:tcW w:w="2129" w:type="dxa"/>
            <w:tcBorders>
              <w:top w:val="single" w:color="auto" w:sz="4" w:space="0"/>
              <w:left w:val="single" w:color="auto" w:sz="4" w:space="0"/>
              <w:bottom w:val="single" w:color="auto" w:sz="4" w:space="0"/>
              <w:right w:val="single" w:color="auto" w:sz="4" w:space="0"/>
            </w:tcBorders>
            <w:noWrap w:val="0"/>
            <w:vAlign w:val="center"/>
          </w:tcPr>
          <w:p w14:paraId="4506356B">
            <w:pPr>
              <w:keepNext w:val="0"/>
              <w:keepLines w:val="0"/>
              <w:pageBreakBefore w:val="0"/>
              <w:widowControl w:val="0"/>
              <w:shd w:val="clear" w:color="auto" w:fill="auto"/>
              <w:kinsoku/>
              <w:wordWrap/>
              <w:overflowPunct/>
              <w:topLinePunct w:val="0"/>
              <w:bidi w:val="0"/>
              <w:spacing w:line="360" w:lineRule="exact"/>
              <w:ind w:left="0" w:lef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信誉</w:t>
            </w:r>
          </w:p>
        </w:tc>
        <w:tc>
          <w:tcPr>
            <w:tcW w:w="4989" w:type="dxa"/>
            <w:tcBorders>
              <w:top w:val="single" w:color="auto" w:sz="4" w:space="0"/>
              <w:left w:val="single" w:color="auto" w:sz="4" w:space="0"/>
              <w:bottom w:val="single" w:color="auto" w:sz="4" w:space="0"/>
              <w:right w:val="single" w:color="auto" w:sz="4" w:space="0"/>
            </w:tcBorders>
            <w:noWrap w:val="0"/>
            <w:vAlign w:val="center"/>
          </w:tcPr>
          <w:p w14:paraId="681699A6">
            <w:pPr>
              <w:keepNext w:val="0"/>
              <w:keepLines w:val="0"/>
              <w:pageBreakBefore w:val="0"/>
              <w:widowControl w:val="0"/>
              <w:shd w:val="clear" w:color="auto" w:fill="auto"/>
              <w:kinsoku/>
              <w:wordWrap/>
              <w:overflowPunct/>
              <w:topLinePunct w:val="0"/>
              <w:bidi w:val="0"/>
              <w:spacing w:line="360" w:lineRule="exact"/>
              <w:ind w:left="0" w:leftChars="0" w:firstLine="0" w:firstLineChars="0"/>
              <w:jc w:val="left"/>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1、不接受被政府列入取消投标资格期间的企业或个人参加投标，参加政府采购活动前3年内在经营活动中没有重大违法记录。</w:t>
            </w:r>
          </w:p>
          <w:p w14:paraId="455A8E61">
            <w:pPr>
              <w:keepNext w:val="0"/>
              <w:keepLines w:val="0"/>
              <w:pageBreakBefore w:val="0"/>
              <w:widowControl w:val="0"/>
              <w:shd w:val="clear" w:color="auto" w:fill="auto"/>
              <w:kinsoku/>
              <w:wordWrap/>
              <w:overflowPunct/>
              <w:topLinePunct w:val="0"/>
              <w:bidi w:val="0"/>
              <w:spacing w:line="360" w:lineRule="exact"/>
              <w:ind w:left="0" w:leftChars="0" w:firstLine="0" w:firstLineChars="0"/>
              <w:jc w:val="left"/>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w:t>
            </w:r>
            <w:r>
              <w:rPr>
                <w:rFonts w:hint="eastAsia" w:hAnsi="宋体" w:cs="宋体"/>
                <w:color w:val="auto"/>
                <w:sz w:val="21"/>
                <w:szCs w:val="21"/>
                <w:highlight w:val="none"/>
                <w:lang w:val="zh-CN"/>
              </w:rPr>
              <w:t>投标人</w:t>
            </w:r>
            <w:r>
              <w:rPr>
                <w:rFonts w:hint="eastAsia" w:ascii="宋体" w:hAnsi="宋体" w:eastAsia="宋体" w:cs="宋体"/>
                <w:color w:val="auto"/>
                <w:sz w:val="21"/>
                <w:szCs w:val="21"/>
                <w:highlight w:val="none"/>
                <w:lang w:val="zh-CN"/>
              </w:rPr>
              <w:t>在“信用中国”网（www.creditchina.gov.cn） 未列入失信被执行人和重大税收违法失信主体名单；</w:t>
            </w:r>
            <w:r>
              <w:rPr>
                <w:rFonts w:hint="eastAsia" w:hAnsi="宋体" w:cs="宋体"/>
                <w:color w:val="auto"/>
                <w:sz w:val="21"/>
                <w:szCs w:val="21"/>
                <w:highlight w:val="none"/>
                <w:lang w:val="zh-CN"/>
              </w:rPr>
              <w:t>投标人</w:t>
            </w:r>
            <w:r>
              <w:rPr>
                <w:rFonts w:hint="eastAsia" w:ascii="宋体" w:hAnsi="宋体" w:eastAsia="宋体" w:cs="宋体"/>
                <w:color w:val="auto"/>
                <w:sz w:val="21"/>
                <w:szCs w:val="21"/>
                <w:highlight w:val="none"/>
                <w:lang w:val="zh-CN"/>
              </w:rPr>
              <w:t>在“中国政府采购网”（www.ccgp.gov.cn）未列入政府采购严重违法失信行为记录名单（附网页截图）。</w:t>
            </w:r>
          </w:p>
          <w:p w14:paraId="005AC430">
            <w:pPr>
              <w:keepNext w:val="0"/>
              <w:keepLines w:val="0"/>
              <w:pageBreakBefore w:val="0"/>
              <w:widowControl w:val="0"/>
              <w:shd w:val="clear" w:color="auto" w:fill="auto"/>
              <w:kinsoku/>
              <w:wordWrap/>
              <w:overflowPunct/>
              <w:topLinePunct w:val="0"/>
              <w:bidi w:val="0"/>
              <w:spacing w:line="360" w:lineRule="exact"/>
              <w:ind w:left="0" w:leftChars="0" w:firstLine="0" w:firstLineChars="0"/>
              <w:jc w:val="left"/>
              <w:textAlignment w:val="auto"/>
              <w:rPr>
                <w:rFonts w:hint="eastAsia" w:ascii="宋体" w:hAnsi="宋体" w:eastAsia="宋体" w:cs="宋体"/>
                <w:b/>
                <w:bCs/>
                <w:color w:val="auto"/>
                <w:sz w:val="21"/>
                <w:szCs w:val="21"/>
                <w:highlight w:val="none"/>
                <w:lang w:val="zh-CN"/>
              </w:rPr>
            </w:pPr>
            <w:r>
              <w:rPr>
                <w:rFonts w:hint="eastAsia" w:ascii="宋体" w:hAnsi="宋体" w:eastAsia="宋体" w:cs="宋体"/>
                <w:color w:val="auto"/>
                <w:sz w:val="21"/>
                <w:szCs w:val="21"/>
                <w:highlight w:val="none"/>
                <w:lang w:val="zh-CN"/>
              </w:rPr>
              <w:t>注：投标文件内附由法定代表人签字和加盖公章的承诺书。</w:t>
            </w:r>
          </w:p>
        </w:tc>
      </w:tr>
      <w:tr w14:paraId="44D7F9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58" w:type="dxa"/>
            <w:vMerge w:val="continue"/>
            <w:tcBorders>
              <w:bottom w:val="single" w:color="auto" w:sz="4" w:space="0"/>
              <w:right w:val="single" w:color="auto" w:sz="4" w:space="0"/>
            </w:tcBorders>
            <w:noWrap w:val="0"/>
            <w:vAlign w:val="center"/>
          </w:tcPr>
          <w:p w14:paraId="2E5F04C0">
            <w:pPr>
              <w:keepNext w:val="0"/>
              <w:keepLines w:val="0"/>
              <w:pageBreakBefore w:val="0"/>
              <w:widowControl w:val="0"/>
              <w:shd w:val="clear" w:color="auto" w:fill="auto"/>
              <w:kinsoku/>
              <w:wordWrap/>
              <w:overflowPunct/>
              <w:topLinePunct w:val="0"/>
              <w:bidi w:val="0"/>
              <w:spacing w:line="360" w:lineRule="exact"/>
              <w:jc w:val="center"/>
              <w:textAlignment w:val="auto"/>
              <w:rPr>
                <w:rFonts w:hint="eastAsia" w:ascii="宋体" w:hAnsi="宋体" w:eastAsia="宋体" w:cs="宋体"/>
                <w:color w:val="auto"/>
                <w:sz w:val="21"/>
                <w:szCs w:val="21"/>
                <w:highlight w:val="none"/>
              </w:rPr>
            </w:pPr>
          </w:p>
        </w:tc>
        <w:tc>
          <w:tcPr>
            <w:tcW w:w="1163" w:type="dxa"/>
            <w:vMerge w:val="continue"/>
            <w:tcBorders>
              <w:bottom w:val="single" w:color="auto" w:sz="4" w:space="0"/>
              <w:right w:val="single" w:color="auto" w:sz="4" w:space="0"/>
            </w:tcBorders>
            <w:noWrap w:val="0"/>
            <w:vAlign w:val="center"/>
          </w:tcPr>
          <w:p w14:paraId="31BFB575">
            <w:pPr>
              <w:keepNext w:val="0"/>
              <w:keepLines w:val="0"/>
              <w:pageBreakBefore w:val="0"/>
              <w:widowControl w:val="0"/>
              <w:shd w:val="clear" w:color="auto" w:fill="auto"/>
              <w:kinsoku/>
              <w:wordWrap/>
              <w:overflowPunct/>
              <w:topLinePunct w:val="0"/>
              <w:bidi w:val="0"/>
              <w:spacing w:line="360" w:lineRule="exact"/>
              <w:jc w:val="center"/>
              <w:textAlignment w:val="auto"/>
              <w:rPr>
                <w:rFonts w:hint="eastAsia" w:ascii="宋体" w:hAnsi="宋体" w:eastAsia="宋体" w:cs="宋体"/>
                <w:color w:val="auto"/>
                <w:sz w:val="21"/>
                <w:szCs w:val="21"/>
                <w:highlight w:val="none"/>
              </w:rPr>
            </w:pPr>
          </w:p>
        </w:tc>
        <w:tc>
          <w:tcPr>
            <w:tcW w:w="2129" w:type="dxa"/>
            <w:tcBorders>
              <w:top w:val="single" w:color="auto" w:sz="4" w:space="0"/>
              <w:left w:val="single" w:color="auto" w:sz="4" w:space="0"/>
              <w:bottom w:val="single" w:color="auto" w:sz="4" w:space="0"/>
              <w:right w:val="single" w:color="auto" w:sz="4" w:space="0"/>
            </w:tcBorders>
            <w:noWrap w:val="0"/>
            <w:vAlign w:val="center"/>
          </w:tcPr>
          <w:p w14:paraId="3AB63504">
            <w:pPr>
              <w:keepNext w:val="0"/>
              <w:keepLines w:val="0"/>
              <w:pageBreakBefore w:val="0"/>
              <w:widowControl w:val="0"/>
              <w:shd w:val="clear" w:color="auto" w:fill="auto"/>
              <w:kinsoku/>
              <w:wordWrap/>
              <w:overflowPunct/>
              <w:topLinePunct w:val="0"/>
              <w:autoSpaceDE w:val="0"/>
              <w:autoSpaceDN w:val="0"/>
              <w:bidi w:val="0"/>
              <w:adjustRightInd w:val="0"/>
              <w:snapToGrid w:val="0"/>
              <w:spacing w:line="360" w:lineRule="exact"/>
              <w:ind w:left="0" w:leftChars="0" w:firstLine="0" w:firstLineChars="0"/>
              <w:jc w:val="center"/>
              <w:textAlignment w:val="auto"/>
              <w:rPr>
                <w:rFonts w:hint="default"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中小企业声明函</w:t>
            </w:r>
          </w:p>
        </w:tc>
        <w:tc>
          <w:tcPr>
            <w:tcW w:w="4989" w:type="dxa"/>
            <w:tcBorders>
              <w:top w:val="single" w:color="auto" w:sz="4" w:space="0"/>
              <w:left w:val="single" w:color="auto" w:sz="4" w:space="0"/>
              <w:bottom w:val="single" w:color="auto" w:sz="4" w:space="0"/>
              <w:right w:val="single" w:color="auto" w:sz="4" w:space="0"/>
            </w:tcBorders>
            <w:noWrap w:val="0"/>
            <w:vAlign w:val="center"/>
          </w:tcPr>
          <w:p w14:paraId="2B36A205">
            <w:pPr>
              <w:keepNext w:val="0"/>
              <w:keepLines w:val="0"/>
              <w:pageBreakBefore w:val="0"/>
              <w:widowControl w:val="0"/>
              <w:shd w:val="clear" w:color="auto" w:fill="auto"/>
              <w:kinsoku/>
              <w:wordWrap/>
              <w:overflowPunct/>
              <w:topLinePunct w:val="0"/>
              <w:autoSpaceDE w:val="0"/>
              <w:autoSpaceDN w:val="0"/>
              <w:bidi w:val="0"/>
              <w:adjustRightInd w:val="0"/>
              <w:snapToGrid w:val="0"/>
              <w:spacing w:line="360" w:lineRule="exact"/>
              <w:ind w:left="0" w:leftChars="0" w:firstLine="0" w:firstLineChars="0"/>
              <w:jc w:val="left"/>
              <w:textAlignment w:val="auto"/>
              <w:rPr>
                <w:rFonts w:hint="eastAsia" w:ascii="宋体" w:hAnsi="宋体" w:cs="宋体"/>
                <w:bCs/>
                <w:color w:val="auto"/>
                <w:szCs w:val="21"/>
                <w:highlight w:val="none"/>
                <w:lang w:eastAsia="zh-CN"/>
              </w:rPr>
            </w:pPr>
            <w:r>
              <w:rPr>
                <w:rFonts w:hint="eastAsia" w:ascii="宋体" w:hAnsi="宋体" w:cs="宋体"/>
                <w:bCs/>
                <w:color w:val="auto"/>
                <w:szCs w:val="21"/>
                <w:highlight w:val="none"/>
              </w:rPr>
              <w:t>本项目为专门面向中小微企业采购项目，</w:t>
            </w:r>
            <w:r>
              <w:rPr>
                <w:rFonts w:hint="eastAsia" w:ascii="宋体" w:hAnsi="宋体" w:cs="宋体"/>
                <w:bCs/>
                <w:color w:val="auto"/>
                <w:szCs w:val="21"/>
                <w:highlight w:val="none"/>
                <w:lang w:val="en-US" w:eastAsia="zh-CN"/>
              </w:rPr>
              <w:t>投标人</w:t>
            </w:r>
            <w:r>
              <w:rPr>
                <w:rFonts w:hint="eastAsia" w:ascii="宋体" w:hAnsi="宋体" w:cs="宋体"/>
                <w:bCs/>
                <w:color w:val="auto"/>
                <w:szCs w:val="21"/>
                <w:highlight w:val="none"/>
              </w:rPr>
              <w:t>必须按要求提交符合规定的《中小企业声明函》</w:t>
            </w:r>
            <w:r>
              <w:rPr>
                <w:rFonts w:hint="eastAsia" w:ascii="宋体" w:hAnsi="宋体" w:cs="宋体"/>
                <w:bCs/>
                <w:color w:val="auto"/>
                <w:szCs w:val="21"/>
                <w:highlight w:val="none"/>
                <w:lang w:eastAsia="zh-CN"/>
              </w:rPr>
              <w:t>。</w:t>
            </w:r>
          </w:p>
          <w:p w14:paraId="1CD918AF">
            <w:pPr>
              <w:keepNext w:val="0"/>
              <w:keepLines w:val="0"/>
              <w:pageBreakBefore w:val="0"/>
              <w:widowControl w:val="0"/>
              <w:shd w:val="clear" w:color="auto" w:fill="auto"/>
              <w:kinsoku/>
              <w:wordWrap/>
              <w:overflowPunct/>
              <w:topLinePunct w:val="0"/>
              <w:autoSpaceDE w:val="0"/>
              <w:autoSpaceDN w:val="0"/>
              <w:bidi w:val="0"/>
              <w:adjustRightInd w:val="0"/>
              <w:snapToGrid w:val="0"/>
              <w:spacing w:line="360" w:lineRule="exact"/>
              <w:ind w:left="0" w:leftChars="0" w:firstLine="0" w:firstLineChars="0"/>
              <w:jc w:val="left"/>
              <w:textAlignment w:val="auto"/>
              <w:rPr>
                <w:rFonts w:hint="eastAsia" w:ascii="宋体" w:hAnsi="宋体" w:eastAsia="宋体" w:cs="宋体"/>
                <w:bCs/>
                <w:color w:val="auto"/>
                <w:sz w:val="21"/>
                <w:szCs w:val="21"/>
                <w:highlight w:val="none"/>
                <w:lang w:val="en-US" w:eastAsia="zh-CN"/>
              </w:rPr>
            </w:pPr>
            <w:r>
              <w:rPr>
                <w:rFonts w:hint="eastAsia" w:ascii="宋体" w:hAnsi="宋体" w:cs="宋体"/>
                <w:bCs/>
                <w:color w:val="auto"/>
                <w:szCs w:val="21"/>
                <w:highlight w:val="none"/>
              </w:rPr>
              <w:t>内容填写完整、真实、准确，加盖</w:t>
            </w:r>
            <w:r>
              <w:rPr>
                <w:rFonts w:hint="eastAsia" w:hAnsi="宋体" w:cs="宋体"/>
                <w:bCs/>
                <w:color w:val="auto"/>
                <w:szCs w:val="21"/>
                <w:highlight w:val="none"/>
                <w:lang w:eastAsia="zh-CN"/>
              </w:rPr>
              <w:t>投标人</w:t>
            </w:r>
            <w:r>
              <w:rPr>
                <w:rFonts w:hint="eastAsia" w:ascii="宋体" w:hAnsi="宋体" w:cs="宋体"/>
                <w:bCs/>
                <w:color w:val="auto"/>
                <w:szCs w:val="21"/>
                <w:highlight w:val="none"/>
              </w:rPr>
              <w:t>单位鲜章，不得缺项、漏填、涂改</w:t>
            </w:r>
            <w:r>
              <w:rPr>
                <w:rFonts w:hint="eastAsia" w:hAnsi="宋体" w:cs="宋体"/>
                <w:bCs/>
                <w:color w:val="auto"/>
                <w:szCs w:val="21"/>
                <w:highlight w:val="none"/>
                <w:lang w:eastAsia="zh-CN"/>
              </w:rPr>
              <w:t>。</w:t>
            </w:r>
          </w:p>
        </w:tc>
      </w:tr>
      <w:tr w14:paraId="703513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58" w:type="dxa"/>
            <w:vMerge w:val="restart"/>
            <w:tcBorders>
              <w:top w:val="single" w:color="auto" w:sz="4" w:space="0"/>
              <w:right w:val="single" w:color="auto" w:sz="4" w:space="0"/>
            </w:tcBorders>
            <w:noWrap w:val="0"/>
            <w:vAlign w:val="center"/>
          </w:tcPr>
          <w:p w14:paraId="2D838945">
            <w:pPr>
              <w:keepNext w:val="0"/>
              <w:keepLines w:val="0"/>
              <w:pageBreakBefore w:val="0"/>
              <w:widowControl w:val="0"/>
              <w:shd w:val="clear" w:color="auto" w:fill="auto"/>
              <w:kinsoku/>
              <w:wordWrap/>
              <w:overflowPunct/>
              <w:topLinePunct w:val="0"/>
              <w:bidi w:val="0"/>
              <w:spacing w:line="360" w:lineRule="exact"/>
              <w:ind w:left="0" w:leftChars="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2.1.3</w:t>
            </w:r>
          </w:p>
        </w:tc>
        <w:tc>
          <w:tcPr>
            <w:tcW w:w="1163" w:type="dxa"/>
            <w:vMerge w:val="restart"/>
            <w:tcBorders>
              <w:top w:val="single" w:color="auto" w:sz="4" w:space="0"/>
              <w:right w:val="single" w:color="auto" w:sz="4" w:space="0"/>
            </w:tcBorders>
            <w:noWrap w:val="0"/>
            <w:vAlign w:val="center"/>
          </w:tcPr>
          <w:p w14:paraId="28AFAE40">
            <w:pPr>
              <w:ind w:left="0" w:lef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响应性评审标准</w:t>
            </w:r>
          </w:p>
        </w:tc>
        <w:tc>
          <w:tcPr>
            <w:tcW w:w="2129" w:type="dxa"/>
            <w:tcBorders>
              <w:top w:val="single" w:color="auto" w:sz="4" w:space="0"/>
              <w:left w:val="single" w:color="auto" w:sz="4" w:space="0"/>
              <w:bottom w:val="single" w:color="auto" w:sz="4" w:space="0"/>
              <w:right w:val="single" w:color="auto" w:sz="4" w:space="0"/>
            </w:tcBorders>
            <w:noWrap w:val="0"/>
            <w:vAlign w:val="center"/>
          </w:tcPr>
          <w:p w14:paraId="7FADD94F">
            <w:pPr>
              <w:spacing w:line="360" w:lineRule="exact"/>
              <w:ind w:left="0" w:leftChars="0" w:firstLine="0" w:firstLineChars="0"/>
              <w:jc w:val="center"/>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投标内容</w:t>
            </w:r>
          </w:p>
        </w:tc>
        <w:tc>
          <w:tcPr>
            <w:tcW w:w="4989" w:type="dxa"/>
            <w:tcBorders>
              <w:top w:val="single" w:color="auto" w:sz="4" w:space="0"/>
              <w:left w:val="single" w:color="auto" w:sz="4" w:space="0"/>
              <w:bottom w:val="single" w:color="auto" w:sz="4" w:space="0"/>
              <w:right w:val="single" w:color="auto" w:sz="4" w:space="0"/>
            </w:tcBorders>
            <w:noWrap w:val="0"/>
            <w:vAlign w:val="center"/>
          </w:tcPr>
          <w:p w14:paraId="79E1E23F">
            <w:pPr>
              <w:spacing w:line="360" w:lineRule="exact"/>
              <w:ind w:left="0" w:leftChars="0" w:firstLine="0" w:firstLineChars="0"/>
              <w:jc w:val="left"/>
              <w:rPr>
                <w:rFonts w:hint="eastAsia" w:ascii="宋体" w:hAnsi="宋体" w:eastAsia="宋体" w:cs="宋体"/>
                <w:bCs/>
                <w:color w:val="auto"/>
                <w:sz w:val="21"/>
                <w:szCs w:val="21"/>
                <w:highlight w:val="none"/>
                <w:lang w:eastAsia="zh-CN"/>
              </w:rPr>
            </w:pPr>
            <w:r>
              <w:rPr>
                <w:rFonts w:hint="eastAsia" w:ascii="宋体" w:hAnsi="宋体" w:eastAsia="宋体" w:cs="宋体"/>
                <w:color w:val="auto"/>
                <w:sz w:val="21"/>
                <w:szCs w:val="21"/>
                <w:highlight w:val="none"/>
              </w:rPr>
              <w:t>符合</w:t>
            </w:r>
            <w:r>
              <w:rPr>
                <w:rFonts w:hint="eastAsia" w:ascii="宋体" w:hAnsi="宋体" w:cs="宋体"/>
                <w:color w:val="auto"/>
                <w:sz w:val="21"/>
                <w:szCs w:val="21"/>
                <w:highlight w:val="none"/>
                <w:lang w:val="en-US" w:eastAsia="zh-CN"/>
              </w:rPr>
              <w:t>招标</w:t>
            </w:r>
            <w:r>
              <w:rPr>
                <w:rFonts w:hint="eastAsia" w:ascii="宋体" w:hAnsi="宋体" w:cs="宋体"/>
                <w:color w:val="auto"/>
                <w:sz w:val="21"/>
                <w:szCs w:val="21"/>
                <w:highlight w:val="none"/>
                <w:lang w:eastAsia="zh-CN"/>
              </w:rPr>
              <w:t>文件</w:t>
            </w:r>
            <w:r>
              <w:rPr>
                <w:rFonts w:hint="eastAsia" w:ascii="宋体" w:hAnsi="宋体" w:eastAsia="宋体" w:cs="宋体"/>
                <w:color w:val="auto"/>
                <w:sz w:val="21"/>
                <w:szCs w:val="21"/>
                <w:highlight w:val="none"/>
              </w:rPr>
              <w:t>规定的招标范围。</w:t>
            </w:r>
          </w:p>
        </w:tc>
      </w:tr>
      <w:tr w14:paraId="7947B9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58" w:type="dxa"/>
            <w:vMerge w:val="continue"/>
            <w:tcBorders>
              <w:right w:val="single" w:color="auto" w:sz="4" w:space="0"/>
            </w:tcBorders>
            <w:noWrap w:val="0"/>
            <w:vAlign w:val="center"/>
          </w:tcPr>
          <w:p w14:paraId="61133252">
            <w:pPr>
              <w:keepNext w:val="0"/>
              <w:keepLines w:val="0"/>
              <w:pageBreakBefore w:val="0"/>
              <w:widowControl w:val="0"/>
              <w:shd w:val="clear" w:color="auto" w:fill="auto"/>
              <w:kinsoku/>
              <w:wordWrap/>
              <w:overflowPunct/>
              <w:topLinePunct w:val="0"/>
              <w:bidi w:val="0"/>
              <w:spacing w:line="360" w:lineRule="exact"/>
              <w:ind w:left="0" w:leftChars="0" w:firstLine="0" w:firstLineChars="0"/>
              <w:jc w:val="center"/>
              <w:textAlignment w:val="auto"/>
              <w:rPr>
                <w:rFonts w:hint="eastAsia" w:ascii="宋体" w:hAnsi="宋体" w:eastAsia="宋体" w:cs="宋体"/>
                <w:color w:val="auto"/>
                <w:sz w:val="21"/>
                <w:szCs w:val="21"/>
                <w:highlight w:val="none"/>
              </w:rPr>
            </w:pPr>
          </w:p>
        </w:tc>
        <w:tc>
          <w:tcPr>
            <w:tcW w:w="1163" w:type="dxa"/>
            <w:vMerge w:val="continue"/>
            <w:tcBorders>
              <w:right w:val="single" w:color="auto" w:sz="4" w:space="0"/>
            </w:tcBorders>
            <w:noWrap w:val="0"/>
            <w:vAlign w:val="center"/>
          </w:tcPr>
          <w:p w14:paraId="6993D733">
            <w:pPr>
              <w:ind w:left="0" w:leftChars="0" w:firstLine="0" w:firstLineChars="0"/>
              <w:jc w:val="center"/>
              <w:rPr>
                <w:rFonts w:hint="eastAsia" w:ascii="宋体" w:hAnsi="宋体" w:eastAsia="宋体" w:cs="宋体"/>
                <w:color w:val="auto"/>
                <w:sz w:val="21"/>
                <w:szCs w:val="21"/>
                <w:highlight w:val="none"/>
              </w:rPr>
            </w:pPr>
          </w:p>
        </w:tc>
        <w:tc>
          <w:tcPr>
            <w:tcW w:w="2129" w:type="dxa"/>
            <w:tcBorders>
              <w:top w:val="single" w:color="auto" w:sz="4" w:space="0"/>
              <w:left w:val="single" w:color="auto" w:sz="4" w:space="0"/>
              <w:bottom w:val="single" w:color="auto" w:sz="4" w:space="0"/>
              <w:right w:val="single" w:color="auto" w:sz="4" w:space="0"/>
            </w:tcBorders>
            <w:noWrap w:val="0"/>
            <w:vAlign w:val="center"/>
          </w:tcPr>
          <w:p w14:paraId="48EDB448">
            <w:pPr>
              <w:spacing w:line="360" w:lineRule="exact"/>
              <w:ind w:left="0" w:leftChars="0" w:firstLine="0" w:firstLineChars="0"/>
              <w:jc w:val="center"/>
              <w:rPr>
                <w:rFonts w:hint="default"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采购需求</w:t>
            </w:r>
          </w:p>
        </w:tc>
        <w:tc>
          <w:tcPr>
            <w:tcW w:w="4989" w:type="dxa"/>
            <w:tcBorders>
              <w:top w:val="single" w:color="auto" w:sz="4" w:space="0"/>
              <w:left w:val="single" w:color="auto" w:sz="4" w:space="0"/>
              <w:bottom w:val="single" w:color="auto" w:sz="4" w:space="0"/>
              <w:right w:val="single" w:color="auto" w:sz="4" w:space="0"/>
            </w:tcBorders>
            <w:noWrap w:val="0"/>
            <w:vAlign w:val="center"/>
          </w:tcPr>
          <w:p w14:paraId="1792F4B6">
            <w:pPr>
              <w:spacing w:line="360" w:lineRule="exact"/>
              <w:ind w:left="0" w:leftChars="0" w:firstLine="0" w:firstLineChars="0"/>
              <w:jc w:val="left"/>
              <w:rPr>
                <w:rFonts w:hint="default" w:ascii="宋体" w:hAnsi="宋体" w:eastAsia="宋体" w:cs="宋体"/>
                <w:color w:val="auto"/>
                <w:sz w:val="21"/>
                <w:szCs w:val="21"/>
                <w:highlight w:val="none"/>
                <w:lang w:val="en-US" w:eastAsia="zh-CN"/>
              </w:rPr>
            </w:pPr>
            <w:r>
              <w:rPr>
                <w:rFonts w:hint="eastAsia" w:hAnsi="宋体" w:cs="宋体"/>
                <w:color w:val="auto"/>
                <w:sz w:val="21"/>
                <w:szCs w:val="21"/>
                <w:highlight w:val="none"/>
                <w:lang w:val="en-US" w:eastAsia="zh-CN"/>
              </w:rPr>
              <w:t>完全相应招标文件第五章采购需求的全部内容。</w:t>
            </w:r>
          </w:p>
        </w:tc>
      </w:tr>
      <w:tr w14:paraId="406877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58" w:type="dxa"/>
            <w:vMerge w:val="continue"/>
            <w:tcBorders>
              <w:right w:val="single" w:color="auto" w:sz="4" w:space="0"/>
            </w:tcBorders>
            <w:noWrap w:val="0"/>
            <w:vAlign w:val="center"/>
          </w:tcPr>
          <w:p w14:paraId="0C0AF76C">
            <w:pPr>
              <w:keepNext w:val="0"/>
              <w:keepLines w:val="0"/>
              <w:pageBreakBefore w:val="0"/>
              <w:widowControl w:val="0"/>
              <w:shd w:val="clear" w:color="auto" w:fill="auto"/>
              <w:kinsoku/>
              <w:wordWrap/>
              <w:overflowPunct/>
              <w:topLinePunct w:val="0"/>
              <w:bidi w:val="0"/>
              <w:spacing w:line="360" w:lineRule="exact"/>
              <w:jc w:val="center"/>
              <w:textAlignment w:val="auto"/>
              <w:rPr>
                <w:rFonts w:hint="eastAsia" w:ascii="宋体" w:hAnsi="宋体" w:eastAsia="宋体" w:cs="宋体"/>
                <w:color w:val="auto"/>
                <w:sz w:val="21"/>
                <w:szCs w:val="21"/>
                <w:highlight w:val="none"/>
              </w:rPr>
            </w:pPr>
          </w:p>
        </w:tc>
        <w:tc>
          <w:tcPr>
            <w:tcW w:w="1163" w:type="dxa"/>
            <w:vMerge w:val="continue"/>
            <w:tcBorders>
              <w:right w:val="single" w:color="auto" w:sz="4" w:space="0"/>
            </w:tcBorders>
            <w:noWrap w:val="0"/>
            <w:vAlign w:val="center"/>
          </w:tcPr>
          <w:p w14:paraId="4B83FC94">
            <w:pPr>
              <w:keepNext w:val="0"/>
              <w:keepLines w:val="0"/>
              <w:pageBreakBefore w:val="0"/>
              <w:widowControl w:val="0"/>
              <w:shd w:val="clear" w:color="auto" w:fill="auto"/>
              <w:kinsoku/>
              <w:wordWrap/>
              <w:overflowPunct/>
              <w:topLinePunct w:val="0"/>
              <w:bidi w:val="0"/>
              <w:spacing w:line="360" w:lineRule="exact"/>
              <w:jc w:val="center"/>
              <w:textAlignment w:val="auto"/>
              <w:rPr>
                <w:rFonts w:hint="eastAsia" w:ascii="宋体" w:hAnsi="宋体" w:eastAsia="宋体" w:cs="宋体"/>
                <w:color w:val="auto"/>
                <w:sz w:val="21"/>
                <w:szCs w:val="21"/>
                <w:highlight w:val="none"/>
              </w:rPr>
            </w:pPr>
          </w:p>
        </w:tc>
        <w:tc>
          <w:tcPr>
            <w:tcW w:w="2129" w:type="dxa"/>
            <w:tcBorders>
              <w:top w:val="single" w:color="auto" w:sz="4" w:space="0"/>
              <w:left w:val="single" w:color="auto" w:sz="4" w:space="0"/>
              <w:bottom w:val="single" w:color="auto" w:sz="4" w:space="0"/>
              <w:right w:val="single" w:color="auto" w:sz="4" w:space="0"/>
            </w:tcBorders>
            <w:noWrap w:val="0"/>
            <w:vAlign w:val="center"/>
          </w:tcPr>
          <w:p w14:paraId="03CDBB6C">
            <w:pPr>
              <w:spacing w:line="360" w:lineRule="exact"/>
              <w:ind w:left="0" w:leftChars="0" w:firstLine="0" w:firstLineChars="0"/>
              <w:jc w:val="center"/>
              <w:rPr>
                <w:rFonts w:hint="eastAsia" w:ascii="宋体" w:hAnsi="宋体" w:eastAsia="宋体" w:cs="宋体"/>
                <w:bCs/>
                <w:color w:val="auto"/>
                <w:sz w:val="21"/>
                <w:szCs w:val="21"/>
                <w:highlight w:val="none"/>
              </w:rPr>
            </w:pPr>
            <w:r>
              <w:rPr>
                <w:rFonts w:hint="eastAsia" w:ascii="宋体" w:hAnsi="宋体" w:eastAsia="宋体" w:cs="宋体"/>
                <w:color w:val="auto"/>
                <w:szCs w:val="21"/>
                <w:highlight w:val="none"/>
              </w:rPr>
              <w:t>合同履行期限</w:t>
            </w:r>
          </w:p>
        </w:tc>
        <w:tc>
          <w:tcPr>
            <w:tcW w:w="4989" w:type="dxa"/>
            <w:tcBorders>
              <w:top w:val="single" w:color="auto" w:sz="4" w:space="0"/>
              <w:left w:val="single" w:color="auto" w:sz="4" w:space="0"/>
              <w:bottom w:val="single" w:color="auto" w:sz="4" w:space="0"/>
              <w:right w:val="single" w:color="auto" w:sz="4" w:space="0"/>
            </w:tcBorders>
            <w:noWrap w:val="0"/>
            <w:vAlign w:val="center"/>
          </w:tcPr>
          <w:p w14:paraId="22D1FFA0">
            <w:pPr>
              <w:ind w:left="0" w:leftChars="0" w:firstLine="0" w:firstLineChars="0"/>
              <w:jc w:val="left"/>
              <w:rPr>
                <w:rFonts w:hint="eastAsia" w:ascii="宋体" w:hAnsi="宋体" w:eastAsia="宋体" w:cs="宋体"/>
                <w:bCs/>
                <w:color w:val="auto"/>
                <w:sz w:val="21"/>
                <w:szCs w:val="21"/>
                <w:highlight w:val="none"/>
                <w:lang w:eastAsia="zh-CN"/>
              </w:rPr>
            </w:pPr>
            <w:r>
              <w:rPr>
                <w:rFonts w:hint="eastAsia" w:ascii="宋体" w:hAnsi="宋体" w:eastAsia="宋体" w:cs="宋体"/>
                <w:color w:val="auto"/>
                <w:sz w:val="21"/>
                <w:szCs w:val="21"/>
                <w:highlight w:val="none"/>
              </w:rPr>
              <w:t>符合第二章“</w:t>
            </w:r>
            <w:r>
              <w:rPr>
                <w:rFonts w:hint="eastAsia" w:hAnsi="宋体" w:cs="宋体"/>
                <w:color w:val="auto"/>
                <w:sz w:val="21"/>
                <w:szCs w:val="21"/>
                <w:highlight w:val="none"/>
                <w:lang w:eastAsia="zh-CN"/>
              </w:rPr>
              <w:t>投标人</w:t>
            </w:r>
            <w:r>
              <w:rPr>
                <w:rFonts w:hint="eastAsia" w:ascii="宋体" w:hAnsi="宋体" w:eastAsia="宋体" w:cs="宋体"/>
                <w:color w:val="auto"/>
                <w:sz w:val="21"/>
                <w:szCs w:val="21"/>
                <w:highlight w:val="none"/>
              </w:rPr>
              <w:t>须知”第1.3.2项规定</w:t>
            </w:r>
          </w:p>
        </w:tc>
      </w:tr>
      <w:tr w14:paraId="7E702B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58" w:type="dxa"/>
            <w:vMerge w:val="continue"/>
            <w:tcBorders>
              <w:right w:val="single" w:color="auto" w:sz="4" w:space="0"/>
            </w:tcBorders>
            <w:noWrap w:val="0"/>
            <w:vAlign w:val="center"/>
          </w:tcPr>
          <w:p w14:paraId="42E6DDA9">
            <w:pPr>
              <w:keepNext w:val="0"/>
              <w:keepLines w:val="0"/>
              <w:pageBreakBefore w:val="0"/>
              <w:widowControl w:val="0"/>
              <w:shd w:val="clear" w:color="auto" w:fill="auto"/>
              <w:kinsoku/>
              <w:wordWrap/>
              <w:overflowPunct/>
              <w:topLinePunct w:val="0"/>
              <w:bidi w:val="0"/>
              <w:spacing w:line="360" w:lineRule="exact"/>
              <w:jc w:val="center"/>
              <w:textAlignment w:val="auto"/>
              <w:rPr>
                <w:rFonts w:hint="eastAsia" w:ascii="宋体" w:hAnsi="宋体" w:eastAsia="宋体" w:cs="宋体"/>
                <w:color w:val="auto"/>
                <w:sz w:val="21"/>
                <w:szCs w:val="21"/>
                <w:highlight w:val="none"/>
              </w:rPr>
            </w:pPr>
          </w:p>
        </w:tc>
        <w:tc>
          <w:tcPr>
            <w:tcW w:w="1163" w:type="dxa"/>
            <w:vMerge w:val="continue"/>
            <w:tcBorders>
              <w:right w:val="single" w:color="auto" w:sz="4" w:space="0"/>
            </w:tcBorders>
            <w:noWrap w:val="0"/>
            <w:vAlign w:val="center"/>
          </w:tcPr>
          <w:p w14:paraId="21522A78">
            <w:pPr>
              <w:keepNext w:val="0"/>
              <w:keepLines w:val="0"/>
              <w:pageBreakBefore w:val="0"/>
              <w:widowControl w:val="0"/>
              <w:shd w:val="clear" w:color="auto" w:fill="auto"/>
              <w:kinsoku/>
              <w:wordWrap/>
              <w:overflowPunct/>
              <w:topLinePunct w:val="0"/>
              <w:bidi w:val="0"/>
              <w:spacing w:line="360" w:lineRule="exact"/>
              <w:jc w:val="center"/>
              <w:textAlignment w:val="auto"/>
              <w:rPr>
                <w:rFonts w:hint="eastAsia" w:ascii="宋体" w:hAnsi="宋体" w:eastAsia="宋体" w:cs="宋体"/>
                <w:color w:val="auto"/>
                <w:sz w:val="21"/>
                <w:szCs w:val="21"/>
                <w:highlight w:val="none"/>
              </w:rPr>
            </w:pPr>
          </w:p>
        </w:tc>
        <w:tc>
          <w:tcPr>
            <w:tcW w:w="2129" w:type="dxa"/>
            <w:tcBorders>
              <w:top w:val="single" w:color="auto" w:sz="4" w:space="0"/>
              <w:left w:val="single" w:color="auto" w:sz="4" w:space="0"/>
              <w:bottom w:val="single" w:color="auto" w:sz="4" w:space="0"/>
              <w:right w:val="single" w:color="auto" w:sz="4" w:space="0"/>
            </w:tcBorders>
            <w:noWrap w:val="0"/>
            <w:vAlign w:val="center"/>
          </w:tcPr>
          <w:p w14:paraId="18EC19AE">
            <w:pPr>
              <w:spacing w:line="360" w:lineRule="exact"/>
              <w:ind w:left="0" w:leftChars="0" w:firstLine="0" w:firstLineChars="0"/>
              <w:jc w:val="center"/>
              <w:rPr>
                <w:rFonts w:hint="default" w:ascii="宋体" w:hAnsi="宋体" w:eastAsia="宋体" w:cs="宋体"/>
                <w:bCs/>
                <w:color w:val="auto"/>
                <w:sz w:val="21"/>
                <w:szCs w:val="21"/>
                <w:highlight w:val="none"/>
                <w:lang w:val="en-US" w:eastAsia="zh-CN"/>
              </w:rPr>
            </w:pPr>
            <w:r>
              <w:rPr>
                <w:rFonts w:hint="eastAsia" w:ascii="宋体" w:hAnsi="宋体" w:eastAsia="宋体" w:cs="宋体"/>
                <w:bCs/>
                <w:color w:val="auto"/>
                <w:szCs w:val="21"/>
                <w:highlight w:val="none"/>
                <w:lang w:val="zh-CN"/>
              </w:rPr>
              <w:t>服务</w:t>
            </w:r>
            <w:r>
              <w:rPr>
                <w:rFonts w:hint="eastAsia" w:ascii="宋体" w:hAnsi="宋体" w:cs="宋体"/>
                <w:bCs/>
                <w:color w:val="auto"/>
                <w:szCs w:val="21"/>
                <w:highlight w:val="none"/>
                <w:lang w:val="en-US" w:eastAsia="zh-CN"/>
              </w:rPr>
              <w:t>质量标准</w:t>
            </w:r>
          </w:p>
        </w:tc>
        <w:tc>
          <w:tcPr>
            <w:tcW w:w="4989" w:type="dxa"/>
            <w:tcBorders>
              <w:top w:val="single" w:color="auto" w:sz="4" w:space="0"/>
              <w:left w:val="single" w:color="auto" w:sz="4" w:space="0"/>
              <w:bottom w:val="single" w:color="auto" w:sz="4" w:space="0"/>
              <w:right w:val="single" w:color="auto" w:sz="4" w:space="0"/>
            </w:tcBorders>
            <w:noWrap w:val="0"/>
            <w:vAlign w:val="center"/>
          </w:tcPr>
          <w:p w14:paraId="213E24FE">
            <w:pPr>
              <w:ind w:left="0" w:leftChars="0" w:firstLine="0" w:firstLineChars="0"/>
              <w:jc w:val="left"/>
              <w:rPr>
                <w:rFonts w:hint="eastAsia" w:ascii="宋体" w:hAnsi="宋体" w:eastAsia="宋体" w:cs="宋体"/>
                <w:bCs/>
                <w:color w:val="auto"/>
                <w:sz w:val="21"/>
                <w:szCs w:val="21"/>
                <w:highlight w:val="none"/>
                <w:lang w:eastAsia="zh-CN"/>
              </w:rPr>
            </w:pPr>
            <w:r>
              <w:rPr>
                <w:rFonts w:hint="eastAsia" w:ascii="宋体" w:hAnsi="宋体" w:eastAsia="宋体" w:cs="宋体"/>
                <w:color w:val="auto"/>
                <w:sz w:val="21"/>
                <w:szCs w:val="21"/>
                <w:highlight w:val="none"/>
              </w:rPr>
              <w:t>符合第二章“</w:t>
            </w:r>
            <w:r>
              <w:rPr>
                <w:rFonts w:hint="eastAsia" w:hAnsi="宋体" w:cs="宋体"/>
                <w:color w:val="auto"/>
                <w:sz w:val="21"/>
                <w:szCs w:val="21"/>
                <w:highlight w:val="none"/>
                <w:lang w:eastAsia="zh-CN"/>
              </w:rPr>
              <w:t>投标人</w:t>
            </w:r>
            <w:r>
              <w:rPr>
                <w:rFonts w:hint="eastAsia" w:ascii="宋体" w:hAnsi="宋体" w:eastAsia="宋体" w:cs="宋体"/>
                <w:color w:val="auto"/>
                <w:sz w:val="21"/>
                <w:szCs w:val="21"/>
                <w:highlight w:val="none"/>
              </w:rPr>
              <w:t>须知”第1.3.3项规定</w:t>
            </w:r>
          </w:p>
        </w:tc>
      </w:tr>
      <w:tr w14:paraId="1898B6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58" w:type="dxa"/>
            <w:vMerge w:val="continue"/>
            <w:tcBorders>
              <w:right w:val="single" w:color="auto" w:sz="4" w:space="0"/>
            </w:tcBorders>
            <w:noWrap w:val="0"/>
            <w:vAlign w:val="center"/>
          </w:tcPr>
          <w:p w14:paraId="789F20A9">
            <w:pPr>
              <w:keepNext w:val="0"/>
              <w:keepLines w:val="0"/>
              <w:pageBreakBefore w:val="0"/>
              <w:widowControl w:val="0"/>
              <w:shd w:val="clear" w:color="auto" w:fill="auto"/>
              <w:kinsoku/>
              <w:wordWrap/>
              <w:overflowPunct/>
              <w:topLinePunct w:val="0"/>
              <w:bidi w:val="0"/>
              <w:spacing w:line="360" w:lineRule="exact"/>
              <w:jc w:val="center"/>
              <w:textAlignment w:val="auto"/>
              <w:rPr>
                <w:rFonts w:hint="eastAsia" w:ascii="宋体" w:hAnsi="宋体" w:eastAsia="宋体" w:cs="宋体"/>
                <w:color w:val="auto"/>
                <w:sz w:val="21"/>
                <w:szCs w:val="21"/>
                <w:highlight w:val="none"/>
              </w:rPr>
            </w:pPr>
          </w:p>
        </w:tc>
        <w:tc>
          <w:tcPr>
            <w:tcW w:w="1163" w:type="dxa"/>
            <w:vMerge w:val="continue"/>
            <w:tcBorders>
              <w:right w:val="single" w:color="auto" w:sz="4" w:space="0"/>
            </w:tcBorders>
            <w:noWrap w:val="0"/>
            <w:vAlign w:val="center"/>
          </w:tcPr>
          <w:p w14:paraId="26FD73EF">
            <w:pPr>
              <w:keepNext w:val="0"/>
              <w:keepLines w:val="0"/>
              <w:pageBreakBefore w:val="0"/>
              <w:widowControl w:val="0"/>
              <w:shd w:val="clear" w:color="auto" w:fill="auto"/>
              <w:kinsoku/>
              <w:wordWrap/>
              <w:overflowPunct/>
              <w:topLinePunct w:val="0"/>
              <w:bidi w:val="0"/>
              <w:spacing w:line="360" w:lineRule="exact"/>
              <w:jc w:val="center"/>
              <w:textAlignment w:val="auto"/>
              <w:rPr>
                <w:rFonts w:hint="eastAsia" w:ascii="宋体" w:hAnsi="宋体" w:eastAsia="宋体" w:cs="宋体"/>
                <w:color w:val="auto"/>
                <w:sz w:val="21"/>
                <w:szCs w:val="21"/>
                <w:highlight w:val="none"/>
              </w:rPr>
            </w:pPr>
          </w:p>
        </w:tc>
        <w:tc>
          <w:tcPr>
            <w:tcW w:w="2129" w:type="dxa"/>
            <w:tcBorders>
              <w:top w:val="single" w:color="auto" w:sz="4" w:space="0"/>
              <w:left w:val="single" w:color="auto" w:sz="4" w:space="0"/>
              <w:bottom w:val="single" w:color="auto" w:sz="4" w:space="0"/>
              <w:right w:val="single" w:color="auto" w:sz="4" w:space="0"/>
            </w:tcBorders>
            <w:noWrap w:val="0"/>
            <w:vAlign w:val="center"/>
          </w:tcPr>
          <w:p w14:paraId="4CD75FA4">
            <w:pPr>
              <w:spacing w:line="360" w:lineRule="exact"/>
              <w:ind w:left="0" w:leftChars="0" w:firstLine="0" w:firstLineChars="0"/>
              <w:jc w:val="center"/>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投标有效期</w:t>
            </w:r>
          </w:p>
        </w:tc>
        <w:tc>
          <w:tcPr>
            <w:tcW w:w="4989" w:type="dxa"/>
            <w:tcBorders>
              <w:top w:val="single" w:color="auto" w:sz="4" w:space="0"/>
              <w:left w:val="single" w:color="auto" w:sz="4" w:space="0"/>
              <w:bottom w:val="single" w:color="auto" w:sz="4" w:space="0"/>
              <w:right w:val="single" w:color="auto" w:sz="4" w:space="0"/>
            </w:tcBorders>
            <w:noWrap w:val="0"/>
            <w:vAlign w:val="center"/>
          </w:tcPr>
          <w:p w14:paraId="2272BF3E">
            <w:pPr>
              <w:ind w:left="0" w:leftChars="0" w:firstLine="0" w:firstLineChars="0"/>
              <w:jc w:val="left"/>
              <w:rPr>
                <w:rFonts w:hint="eastAsia" w:ascii="宋体" w:hAnsi="宋体" w:eastAsia="宋体" w:cs="宋体"/>
                <w:bCs/>
                <w:color w:val="auto"/>
                <w:sz w:val="21"/>
                <w:szCs w:val="21"/>
                <w:highlight w:val="none"/>
                <w:lang w:eastAsia="zh-CN"/>
              </w:rPr>
            </w:pPr>
            <w:r>
              <w:rPr>
                <w:rFonts w:hint="eastAsia" w:ascii="宋体" w:hAnsi="宋体" w:eastAsia="宋体" w:cs="宋体"/>
                <w:color w:val="auto"/>
                <w:sz w:val="21"/>
                <w:szCs w:val="21"/>
                <w:highlight w:val="none"/>
              </w:rPr>
              <w:t>符合第二章“</w:t>
            </w:r>
            <w:r>
              <w:rPr>
                <w:rFonts w:hint="eastAsia" w:hAnsi="宋体" w:cs="宋体"/>
                <w:color w:val="auto"/>
                <w:sz w:val="21"/>
                <w:szCs w:val="21"/>
                <w:highlight w:val="none"/>
                <w:lang w:eastAsia="zh-CN"/>
              </w:rPr>
              <w:t>投标人</w:t>
            </w:r>
            <w:r>
              <w:rPr>
                <w:rFonts w:hint="eastAsia" w:ascii="宋体" w:hAnsi="宋体" w:eastAsia="宋体" w:cs="宋体"/>
                <w:color w:val="auto"/>
                <w:sz w:val="21"/>
                <w:szCs w:val="21"/>
                <w:highlight w:val="none"/>
              </w:rPr>
              <w:t>须知”第3.3.1项规定</w:t>
            </w:r>
          </w:p>
        </w:tc>
      </w:tr>
      <w:tr w14:paraId="14C284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858" w:type="dxa"/>
            <w:vMerge w:val="continue"/>
            <w:tcBorders>
              <w:right w:val="single" w:color="auto" w:sz="4" w:space="0"/>
            </w:tcBorders>
            <w:noWrap w:val="0"/>
            <w:vAlign w:val="center"/>
          </w:tcPr>
          <w:p w14:paraId="07204F99">
            <w:pPr>
              <w:keepNext w:val="0"/>
              <w:keepLines w:val="0"/>
              <w:pageBreakBefore w:val="0"/>
              <w:widowControl w:val="0"/>
              <w:shd w:val="clear" w:color="auto" w:fill="auto"/>
              <w:kinsoku/>
              <w:wordWrap/>
              <w:overflowPunct/>
              <w:topLinePunct w:val="0"/>
              <w:bidi w:val="0"/>
              <w:spacing w:line="360" w:lineRule="exact"/>
              <w:jc w:val="center"/>
              <w:textAlignment w:val="auto"/>
              <w:rPr>
                <w:rFonts w:hint="eastAsia" w:ascii="宋体" w:hAnsi="宋体" w:eastAsia="宋体" w:cs="宋体"/>
                <w:color w:val="auto"/>
                <w:sz w:val="21"/>
                <w:szCs w:val="21"/>
                <w:highlight w:val="none"/>
              </w:rPr>
            </w:pPr>
          </w:p>
        </w:tc>
        <w:tc>
          <w:tcPr>
            <w:tcW w:w="1163" w:type="dxa"/>
            <w:vMerge w:val="continue"/>
            <w:tcBorders>
              <w:right w:val="single" w:color="auto" w:sz="4" w:space="0"/>
            </w:tcBorders>
            <w:noWrap w:val="0"/>
            <w:vAlign w:val="center"/>
          </w:tcPr>
          <w:p w14:paraId="18BA3380">
            <w:pPr>
              <w:keepNext w:val="0"/>
              <w:keepLines w:val="0"/>
              <w:pageBreakBefore w:val="0"/>
              <w:widowControl w:val="0"/>
              <w:shd w:val="clear" w:color="auto" w:fill="auto"/>
              <w:kinsoku/>
              <w:wordWrap/>
              <w:overflowPunct/>
              <w:topLinePunct w:val="0"/>
              <w:bidi w:val="0"/>
              <w:spacing w:line="360" w:lineRule="exact"/>
              <w:jc w:val="center"/>
              <w:textAlignment w:val="auto"/>
              <w:rPr>
                <w:rFonts w:hint="eastAsia" w:ascii="宋体" w:hAnsi="宋体" w:eastAsia="宋体" w:cs="宋体"/>
                <w:color w:val="auto"/>
                <w:sz w:val="21"/>
                <w:szCs w:val="21"/>
                <w:highlight w:val="none"/>
              </w:rPr>
            </w:pPr>
          </w:p>
        </w:tc>
        <w:tc>
          <w:tcPr>
            <w:tcW w:w="2129" w:type="dxa"/>
            <w:tcBorders>
              <w:top w:val="single" w:color="auto" w:sz="4" w:space="0"/>
              <w:left w:val="single" w:color="auto" w:sz="4" w:space="0"/>
              <w:bottom w:val="single" w:color="auto" w:sz="4" w:space="0"/>
              <w:right w:val="single" w:color="auto" w:sz="4" w:space="0"/>
            </w:tcBorders>
            <w:noWrap w:val="0"/>
            <w:vAlign w:val="center"/>
          </w:tcPr>
          <w:p w14:paraId="0F7950C0">
            <w:pPr>
              <w:spacing w:line="360" w:lineRule="exact"/>
              <w:ind w:left="0" w:leftChars="0" w:firstLine="0" w:firstLineChars="0"/>
              <w:jc w:val="center"/>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权利义务</w:t>
            </w:r>
          </w:p>
        </w:tc>
        <w:tc>
          <w:tcPr>
            <w:tcW w:w="4989" w:type="dxa"/>
            <w:tcBorders>
              <w:top w:val="single" w:color="auto" w:sz="4" w:space="0"/>
              <w:left w:val="single" w:color="auto" w:sz="4" w:space="0"/>
              <w:bottom w:val="single" w:color="auto" w:sz="4" w:space="0"/>
              <w:right w:val="single" w:color="auto" w:sz="4" w:space="0"/>
            </w:tcBorders>
            <w:noWrap w:val="0"/>
            <w:vAlign w:val="center"/>
          </w:tcPr>
          <w:p w14:paraId="169521D9">
            <w:pPr>
              <w:ind w:left="0" w:leftChars="0" w:firstLine="0" w:firstLineChars="0"/>
              <w:jc w:val="left"/>
              <w:rPr>
                <w:rFonts w:hint="eastAsia" w:ascii="宋体" w:hAnsi="宋体" w:eastAsia="宋体" w:cs="宋体"/>
                <w:bCs/>
                <w:color w:val="auto"/>
                <w:sz w:val="21"/>
                <w:szCs w:val="21"/>
                <w:highlight w:val="none"/>
                <w:lang w:eastAsia="zh-CN"/>
              </w:rPr>
            </w:pPr>
            <w:r>
              <w:rPr>
                <w:rFonts w:hint="eastAsia" w:ascii="宋体" w:hAnsi="宋体" w:eastAsia="宋体" w:cs="宋体"/>
                <w:color w:val="auto"/>
                <w:sz w:val="21"/>
                <w:szCs w:val="21"/>
                <w:highlight w:val="none"/>
              </w:rPr>
              <w:t>符合第四章“合同条款及格式”规定</w:t>
            </w:r>
          </w:p>
        </w:tc>
      </w:tr>
    </w:tbl>
    <w:p w14:paraId="7F19F6A6">
      <w:pPr>
        <w:ind w:firstLine="420"/>
        <w:rPr>
          <w:color w:val="auto"/>
          <w:highlight w:val="none"/>
        </w:rPr>
      </w:pPr>
    </w:p>
    <w:p w14:paraId="222DF690">
      <w:pPr>
        <w:ind w:firstLine="420"/>
        <w:rPr>
          <w:color w:val="auto"/>
          <w:kern w:val="0"/>
          <w:highlight w:val="none"/>
        </w:rPr>
        <w:sectPr>
          <w:footerReference r:id="rId14" w:type="default"/>
          <w:pgSz w:w="11905" w:h="16838"/>
          <w:pgMar w:top="1440" w:right="1803" w:bottom="1440" w:left="1803" w:header="850" w:footer="850" w:gutter="0"/>
          <w:pgNumType w:fmt="decimal" w:start="1"/>
          <w:cols w:space="0" w:num="1"/>
          <w:rtlGutter w:val="0"/>
          <w:docGrid w:linePitch="490" w:charSpace="0"/>
        </w:sectPr>
      </w:pPr>
    </w:p>
    <w:bookmarkEnd w:id="116"/>
    <w:bookmarkEnd w:id="117"/>
    <w:bookmarkEnd w:id="118"/>
    <w:bookmarkEnd w:id="119"/>
    <w:bookmarkEnd w:id="120"/>
    <w:bookmarkEnd w:id="121"/>
    <w:bookmarkEnd w:id="122"/>
    <w:bookmarkEnd w:id="123"/>
    <w:bookmarkEnd w:id="124"/>
    <w:bookmarkEnd w:id="125"/>
    <w:p w14:paraId="18392EEF">
      <w:pPr>
        <w:ind w:firstLine="0" w:firstLineChars="0"/>
        <w:jc w:val="center"/>
        <w:rPr>
          <w:rFonts w:hint="eastAsia"/>
          <w:b/>
          <w:color w:val="auto"/>
          <w:sz w:val="24"/>
          <w:szCs w:val="24"/>
          <w:highlight w:val="none"/>
        </w:rPr>
      </w:pPr>
      <w:r>
        <w:rPr>
          <w:rFonts w:hint="eastAsia"/>
          <w:b/>
          <w:color w:val="auto"/>
          <w:sz w:val="24"/>
          <w:szCs w:val="24"/>
          <w:highlight w:val="none"/>
        </w:rPr>
        <w:t>详细评审表（评分标准）</w:t>
      </w:r>
    </w:p>
    <w:tbl>
      <w:tblPr>
        <w:tblStyle w:val="16"/>
        <w:tblW w:w="94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1"/>
        <w:gridCol w:w="1247"/>
        <w:gridCol w:w="1791"/>
        <w:gridCol w:w="4928"/>
        <w:gridCol w:w="770"/>
      </w:tblGrid>
      <w:tr w14:paraId="7D689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48" w:type="dxa"/>
            <w:gridSpan w:val="2"/>
            <w:tcBorders>
              <w:top w:val="single" w:color="auto" w:sz="4" w:space="0"/>
              <w:left w:val="single" w:color="auto" w:sz="4" w:space="0"/>
              <w:bottom w:val="single" w:color="auto" w:sz="4" w:space="0"/>
              <w:right w:val="single" w:color="auto" w:sz="4" w:space="0"/>
            </w:tcBorders>
            <w:noWrap w:val="0"/>
            <w:vAlign w:val="center"/>
          </w:tcPr>
          <w:p w14:paraId="7902016A">
            <w:pPr>
              <w:keepNext w:val="0"/>
              <w:keepLines w:val="0"/>
              <w:pageBreakBefore w:val="0"/>
              <w:wordWrap/>
              <w:overflowPunct/>
              <w:topLinePunct w:val="0"/>
              <w:bidi w:val="0"/>
              <w:spacing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1791" w:type="dxa"/>
            <w:tcBorders>
              <w:top w:val="single" w:color="auto" w:sz="4" w:space="0"/>
              <w:left w:val="single" w:color="auto" w:sz="4" w:space="0"/>
              <w:bottom w:val="single" w:color="auto" w:sz="4" w:space="0"/>
              <w:right w:val="single" w:color="auto" w:sz="4" w:space="0"/>
            </w:tcBorders>
            <w:noWrap w:val="0"/>
            <w:vAlign w:val="center"/>
          </w:tcPr>
          <w:p w14:paraId="5545AFC0">
            <w:pPr>
              <w:keepNext w:val="0"/>
              <w:keepLines w:val="0"/>
              <w:pageBreakBefore w:val="0"/>
              <w:wordWrap/>
              <w:overflowPunct/>
              <w:topLinePunct w:val="0"/>
              <w:bidi w:val="0"/>
              <w:spacing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评审因素</w:t>
            </w:r>
          </w:p>
        </w:tc>
        <w:tc>
          <w:tcPr>
            <w:tcW w:w="5698" w:type="dxa"/>
            <w:gridSpan w:val="2"/>
            <w:tcBorders>
              <w:top w:val="single" w:color="auto" w:sz="4" w:space="0"/>
              <w:left w:val="single" w:color="auto" w:sz="4" w:space="0"/>
              <w:bottom w:val="single" w:color="auto" w:sz="4" w:space="0"/>
              <w:right w:val="single" w:color="auto" w:sz="4" w:space="0"/>
            </w:tcBorders>
            <w:noWrap w:val="0"/>
            <w:vAlign w:val="center"/>
          </w:tcPr>
          <w:p w14:paraId="5433A2AF">
            <w:pPr>
              <w:keepNext w:val="0"/>
              <w:keepLines w:val="0"/>
              <w:pageBreakBefore w:val="0"/>
              <w:wordWrap/>
              <w:overflowPunct/>
              <w:topLinePunct w:val="0"/>
              <w:bidi w:val="0"/>
              <w:spacing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评审标准</w:t>
            </w:r>
          </w:p>
        </w:tc>
      </w:tr>
      <w:tr w14:paraId="72C48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948" w:type="dxa"/>
            <w:gridSpan w:val="2"/>
            <w:tcBorders>
              <w:top w:val="single" w:color="auto" w:sz="4" w:space="0"/>
              <w:left w:val="single" w:color="auto" w:sz="4" w:space="0"/>
              <w:bottom w:val="single" w:color="auto" w:sz="4" w:space="0"/>
              <w:right w:val="single" w:color="auto" w:sz="4" w:space="0"/>
            </w:tcBorders>
            <w:noWrap w:val="0"/>
            <w:vAlign w:val="center"/>
          </w:tcPr>
          <w:p w14:paraId="51EFA4F1">
            <w:pPr>
              <w:keepNext w:val="0"/>
              <w:keepLines w:val="0"/>
              <w:pageBreakBefore w:val="0"/>
              <w:wordWrap/>
              <w:overflowPunct/>
              <w:topLinePunct w:val="0"/>
              <w:bidi w:val="0"/>
              <w:spacing w:line="360" w:lineRule="exact"/>
              <w:ind w:left="0" w:leftChars="0" w:firstLine="0" w:firstLineChar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2.2.1</w:t>
            </w:r>
          </w:p>
        </w:tc>
        <w:tc>
          <w:tcPr>
            <w:tcW w:w="1791" w:type="dxa"/>
            <w:tcBorders>
              <w:top w:val="single" w:color="auto" w:sz="4" w:space="0"/>
              <w:left w:val="single" w:color="auto" w:sz="4" w:space="0"/>
              <w:bottom w:val="single" w:color="auto" w:sz="4" w:space="0"/>
              <w:right w:val="single" w:color="auto" w:sz="4" w:space="0"/>
            </w:tcBorders>
            <w:noWrap w:val="0"/>
            <w:vAlign w:val="center"/>
          </w:tcPr>
          <w:p w14:paraId="7E1D3A3B">
            <w:pPr>
              <w:keepNext w:val="0"/>
              <w:keepLines w:val="0"/>
              <w:pageBreakBefore w:val="0"/>
              <w:wordWrap/>
              <w:overflowPunct/>
              <w:topLinePunct w:val="0"/>
              <w:bidi w:val="0"/>
              <w:spacing w:line="360" w:lineRule="exact"/>
              <w:ind w:left="0" w:leftChars="0" w:firstLine="0" w:firstLineChar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分值构成</w:t>
            </w:r>
          </w:p>
          <w:p w14:paraId="6DB64A6C">
            <w:pPr>
              <w:keepNext w:val="0"/>
              <w:keepLines w:val="0"/>
              <w:pageBreakBefore w:val="0"/>
              <w:wordWrap/>
              <w:overflowPunct/>
              <w:topLinePunct w:val="0"/>
              <w:bidi w:val="0"/>
              <w:spacing w:line="360" w:lineRule="exact"/>
              <w:ind w:left="0" w:leftChars="0" w:firstLine="0" w:firstLineChar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（总分100分）</w:t>
            </w:r>
          </w:p>
        </w:tc>
        <w:tc>
          <w:tcPr>
            <w:tcW w:w="5698" w:type="dxa"/>
            <w:gridSpan w:val="2"/>
            <w:tcBorders>
              <w:top w:val="single" w:color="auto" w:sz="4" w:space="0"/>
              <w:left w:val="single" w:color="auto" w:sz="4" w:space="0"/>
              <w:bottom w:val="single" w:color="auto" w:sz="4" w:space="0"/>
              <w:right w:val="single" w:color="auto" w:sz="4" w:space="0"/>
            </w:tcBorders>
            <w:noWrap w:val="0"/>
            <w:vAlign w:val="center"/>
          </w:tcPr>
          <w:p w14:paraId="0402BBAC">
            <w:pPr>
              <w:keepNext w:val="0"/>
              <w:keepLines w:val="0"/>
              <w:pageBreakBefore w:val="0"/>
              <w:wordWrap/>
              <w:overflowPunct/>
              <w:topLinePunct w:val="0"/>
              <w:autoSpaceDE w:val="0"/>
              <w:autoSpaceDN w:val="0"/>
              <w:bidi w:val="0"/>
              <w:adjustRightInd w:val="0"/>
              <w:snapToGrid w:val="0"/>
              <w:spacing w:line="360" w:lineRule="exact"/>
              <w:ind w:left="0" w:leftChars="0" w:firstLine="0"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报价部分：</w:t>
            </w:r>
            <w:r>
              <w:rPr>
                <w:rFonts w:hint="eastAsia" w:ascii="宋体" w:hAnsi="宋体" w:cs="宋体"/>
                <w:color w:val="auto"/>
                <w:szCs w:val="21"/>
                <w:highlight w:val="none"/>
                <w:lang w:val="en-US" w:eastAsia="zh-CN"/>
              </w:rPr>
              <w:t>30</w:t>
            </w:r>
            <w:r>
              <w:rPr>
                <w:rFonts w:hint="eastAsia" w:ascii="宋体" w:hAnsi="宋体" w:eastAsia="宋体" w:cs="宋体"/>
                <w:color w:val="auto"/>
                <w:szCs w:val="21"/>
                <w:highlight w:val="none"/>
              </w:rPr>
              <w:t>分</w:t>
            </w:r>
          </w:p>
          <w:p w14:paraId="64F2E287">
            <w:pPr>
              <w:keepNext w:val="0"/>
              <w:keepLines w:val="0"/>
              <w:pageBreakBefore w:val="0"/>
              <w:wordWrap/>
              <w:overflowPunct/>
              <w:topLinePunct w:val="0"/>
              <w:autoSpaceDE w:val="0"/>
              <w:autoSpaceDN w:val="0"/>
              <w:bidi w:val="0"/>
              <w:adjustRightInd w:val="0"/>
              <w:snapToGrid w:val="0"/>
              <w:spacing w:line="360" w:lineRule="exact"/>
              <w:ind w:left="0" w:leftChars="0" w:firstLine="0"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技术部分：</w:t>
            </w:r>
            <w:r>
              <w:rPr>
                <w:rFonts w:hint="eastAsia" w:ascii="宋体" w:hAnsi="宋体" w:cs="宋体"/>
                <w:color w:val="auto"/>
                <w:szCs w:val="21"/>
                <w:highlight w:val="none"/>
                <w:lang w:val="en-US" w:eastAsia="zh-CN"/>
              </w:rPr>
              <w:t>60</w:t>
            </w:r>
            <w:r>
              <w:rPr>
                <w:rFonts w:hint="eastAsia" w:ascii="宋体" w:hAnsi="宋体" w:eastAsia="宋体" w:cs="宋体"/>
                <w:color w:val="auto"/>
                <w:szCs w:val="21"/>
                <w:highlight w:val="none"/>
              </w:rPr>
              <w:t>分</w:t>
            </w:r>
          </w:p>
          <w:p w14:paraId="03278DE1">
            <w:pPr>
              <w:pStyle w:val="5"/>
              <w:keepNext w:val="0"/>
              <w:keepLines w:val="0"/>
              <w:pageBreakBefore w:val="0"/>
              <w:wordWrap/>
              <w:overflowPunct/>
              <w:topLinePunct w:val="0"/>
              <w:bidi w:val="0"/>
              <w:spacing w:line="360" w:lineRule="exact"/>
              <w:ind w:left="0" w:leftChars="0" w:firstLine="0" w:firstLineChars="0"/>
              <w:jc w:val="left"/>
              <w:rPr>
                <w:rFonts w:hint="eastAsia" w:ascii="宋体" w:hAnsi="宋体" w:eastAsia="宋体" w:cs="宋体"/>
                <w:color w:val="auto"/>
                <w:szCs w:val="21"/>
                <w:highlight w:val="none"/>
              </w:rPr>
            </w:pPr>
            <w:r>
              <w:rPr>
                <w:rFonts w:hint="eastAsia" w:ascii="宋体" w:hAnsi="宋体" w:eastAsia="宋体" w:cs="宋体"/>
                <w:color w:val="auto"/>
                <w:highlight w:val="none"/>
              </w:rPr>
              <w:t>商务部分：</w:t>
            </w:r>
            <w:r>
              <w:rPr>
                <w:rFonts w:hint="eastAsia" w:ascii="宋体" w:hAnsi="宋体" w:eastAsia="宋体" w:cs="宋体"/>
                <w:color w:val="auto"/>
                <w:highlight w:val="none"/>
                <w:lang w:val="en-US" w:eastAsia="zh-CN"/>
              </w:rPr>
              <w:t>10</w:t>
            </w:r>
            <w:r>
              <w:rPr>
                <w:rFonts w:hint="eastAsia" w:ascii="宋体" w:hAnsi="宋体" w:eastAsia="宋体" w:cs="宋体"/>
                <w:color w:val="auto"/>
                <w:highlight w:val="none"/>
              </w:rPr>
              <w:t>分</w:t>
            </w:r>
          </w:p>
        </w:tc>
      </w:tr>
      <w:tr w14:paraId="1413C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8" w:hRule="atLeast"/>
          <w:jc w:val="center"/>
        </w:trPr>
        <w:tc>
          <w:tcPr>
            <w:tcW w:w="1948" w:type="dxa"/>
            <w:gridSpan w:val="2"/>
            <w:tcBorders>
              <w:top w:val="single" w:color="auto" w:sz="4" w:space="0"/>
              <w:left w:val="single" w:color="auto" w:sz="4" w:space="0"/>
              <w:bottom w:val="single" w:color="auto" w:sz="4" w:space="0"/>
              <w:right w:val="single" w:color="auto" w:sz="4" w:space="0"/>
            </w:tcBorders>
            <w:noWrap w:val="0"/>
            <w:vAlign w:val="center"/>
          </w:tcPr>
          <w:p w14:paraId="5E6279A2">
            <w:pPr>
              <w:keepNext w:val="0"/>
              <w:keepLines w:val="0"/>
              <w:pageBreakBefore w:val="0"/>
              <w:wordWrap/>
              <w:overflowPunct/>
              <w:topLinePunct w:val="0"/>
              <w:bidi w:val="0"/>
              <w:spacing w:line="360" w:lineRule="exact"/>
              <w:ind w:left="0" w:leftChars="0" w:firstLine="0" w:firstLineChar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2.2.2</w:t>
            </w:r>
          </w:p>
        </w:tc>
        <w:tc>
          <w:tcPr>
            <w:tcW w:w="1791" w:type="dxa"/>
            <w:tcBorders>
              <w:top w:val="single" w:color="auto" w:sz="4" w:space="0"/>
              <w:left w:val="single" w:color="auto" w:sz="4" w:space="0"/>
              <w:bottom w:val="single" w:color="auto" w:sz="4" w:space="0"/>
              <w:right w:val="single" w:color="auto" w:sz="4" w:space="0"/>
            </w:tcBorders>
            <w:noWrap w:val="0"/>
            <w:vAlign w:val="center"/>
          </w:tcPr>
          <w:p w14:paraId="13DE0F4D">
            <w:pPr>
              <w:keepNext w:val="0"/>
              <w:keepLines w:val="0"/>
              <w:pageBreakBefore w:val="0"/>
              <w:wordWrap/>
              <w:overflowPunct/>
              <w:topLinePunct w:val="0"/>
              <w:bidi w:val="0"/>
              <w:spacing w:line="360" w:lineRule="exact"/>
              <w:ind w:left="0" w:leftChars="0" w:firstLine="0" w:firstLineChar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评标基准价计算方法</w:t>
            </w:r>
          </w:p>
        </w:tc>
        <w:tc>
          <w:tcPr>
            <w:tcW w:w="5698" w:type="dxa"/>
            <w:gridSpan w:val="2"/>
            <w:tcBorders>
              <w:top w:val="single" w:color="auto" w:sz="4" w:space="0"/>
              <w:left w:val="single" w:color="auto" w:sz="4" w:space="0"/>
              <w:bottom w:val="single" w:color="auto" w:sz="4" w:space="0"/>
              <w:right w:val="single" w:color="auto" w:sz="4" w:space="0"/>
            </w:tcBorders>
            <w:noWrap w:val="0"/>
            <w:vAlign w:val="center"/>
          </w:tcPr>
          <w:p w14:paraId="52FF9B1B">
            <w:pPr>
              <w:spacing w:line="240" w:lineRule="auto"/>
              <w:ind w:firstLine="0" w:firstLineChars="0"/>
              <w:jc w:val="left"/>
              <w:rPr>
                <w:rFonts w:hAnsi="宋体" w:cs="宋体"/>
                <w:color w:val="auto"/>
                <w:spacing w:val="4"/>
                <w:szCs w:val="21"/>
                <w:highlight w:val="none"/>
              </w:rPr>
            </w:pPr>
            <w:r>
              <w:rPr>
                <w:rFonts w:hint="eastAsia" w:hAnsi="宋体"/>
                <w:color w:val="auto"/>
                <w:spacing w:val="4"/>
                <w:szCs w:val="21"/>
                <w:highlight w:val="none"/>
              </w:rPr>
              <w:t>满足招标文件要求且投标价格最低的投标报价为评标基准价，其价格分为满分。</w:t>
            </w:r>
          </w:p>
          <w:p w14:paraId="7CD81FB2">
            <w:pPr>
              <w:keepNext w:val="0"/>
              <w:keepLines w:val="0"/>
              <w:pageBreakBefore w:val="0"/>
              <w:wordWrap/>
              <w:overflowPunct/>
              <w:topLinePunct w:val="0"/>
              <w:bidi w:val="0"/>
              <w:spacing w:line="360" w:lineRule="exact"/>
              <w:ind w:left="0" w:leftChars="0" w:firstLine="0" w:firstLineChars="0"/>
              <w:jc w:val="left"/>
              <w:rPr>
                <w:rFonts w:hint="default" w:ascii="宋体" w:hAnsi="宋体" w:eastAsia="宋体" w:cs="宋体"/>
                <w:color w:val="auto"/>
                <w:szCs w:val="21"/>
                <w:highlight w:val="none"/>
                <w:lang w:val="en-US" w:eastAsia="zh-CN"/>
              </w:rPr>
            </w:pPr>
            <w:r>
              <w:rPr>
                <w:rFonts w:hint="eastAsia" w:hAnsi="宋体"/>
                <w:color w:val="auto"/>
                <w:spacing w:val="4"/>
                <w:szCs w:val="21"/>
                <w:highlight w:val="none"/>
              </w:rPr>
              <w:t>计算结果保留小数点后两位，第三位四舍五入。</w:t>
            </w:r>
          </w:p>
        </w:tc>
      </w:tr>
      <w:tr w14:paraId="684A7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3739" w:type="dxa"/>
            <w:gridSpan w:val="3"/>
            <w:tcBorders>
              <w:top w:val="single" w:color="auto" w:sz="4" w:space="0"/>
              <w:left w:val="single" w:color="auto" w:sz="4" w:space="0"/>
              <w:bottom w:val="single" w:color="auto" w:sz="4" w:space="0"/>
              <w:right w:val="single" w:color="auto" w:sz="4" w:space="0"/>
            </w:tcBorders>
            <w:noWrap w:val="0"/>
            <w:vAlign w:val="center"/>
          </w:tcPr>
          <w:p w14:paraId="1ECB128B">
            <w:pPr>
              <w:keepNext w:val="0"/>
              <w:keepLines w:val="0"/>
              <w:pageBreakBefore w:val="0"/>
              <w:wordWrap/>
              <w:overflowPunct/>
              <w:topLinePunct w:val="0"/>
              <w:bidi w:val="0"/>
              <w:spacing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评分因素</w:t>
            </w:r>
          </w:p>
        </w:tc>
        <w:tc>
          <w:tcPr>
            <w:tcW w:w="4928" w:type="dxa"/>
            <w:tcBorders>
              <w:top w:val="single" w:color="auto" w:sz="4" w:space="0"/>
              <w:left w:val="single" w:color="auto" w:sz="4" w:space="0"/>
              <w:bottom w:val="single" w:color="auto" w:sz="4" w:space="0"/>
              <w:right w:val="single" w:color="auto" w:sz="4" w:space="0"/>
            </w:tcBorders>
            <w:noWrap w:val="0"/>
            <w:vAlign w:val="center"/>
          </w:tcPr>
          <w:p w14:paraId="0122AA97">
            <w:pPr>
              <w:keepNext w:val="0"/>
              <w:keepLines w:val="0"/>
              <w:pageBreakBefore w:val="0"/>
              <w:wordWrap/>
              <w:overflowPunct/>
              <w:topLinePunct w:val="0"/>
              <w:bidi w:val="0"/>
              <w:spacing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评分标准</w:t>
            </w:r>
          </w:p>
        </w:tc>
        <w:tc>
          <w:tcPr>
            <w:tcW w:w="770" w:type="dxa"/>
            <w:tcBorders>
              <w:top w:val="single" w:color="auto" w:sz="4" w:space="0"/>
              <w:left w:val="single" w:color="auto" w:sz="4" w:space="0"/>
              <w:bottom w:val="single" w:color="auto" w:sz="4" w:space="0"/>
              <w:right w:val="single" w:color="auto" w:sz="4" w:space="0"/>
            </w:tcBorders>
            <w:noWrap w:val="0"/>
            <w:vAlign w:val="center"/>
          </w:tcPr>
          <w:p w14:paraId="2A298B70">
            <w:pPr>
              <w:keepNext w:val="0"/>
              <w:keepLines w:val="0"/>
              <w:pageBreakBefore w:val="0"/>
              <w:wordWrap/>
              <w:overflowPunct/>
              <w:topLinePunct w:val="0"/>
              <w:bidi w:val="0"/>
              <w:spacing w:line="360" w:lineRule="exact"/>
              <w:ind w:left="0" w:leftChars="0" w:firstLine="0" w:firstLineChar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得分</w:t>
            </w:r>
          </w:p>
        </w:tc>
      </w:tr>
      <w:tr w14:paraId="55D47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1" w:hRule="atLeast"/>
          <w:jc w:val="center"/>
        </w:trPr>
        <w:tc>
          <w:tcPr>
            <w:tcW w:w="701" w:type="dxa"/>
            <w:tcBorders>
              <w:top w:val="single" w:color="auto" w:sz="4" w:space="0"/>
              <w:left w:val="single" w:color="auto" w:sz="4" w:space="0"/>
              <w:bottom w:val="single" w:color="auto" w:sz="4" w:space="0"/>
              <w:right w:val="single" w:color="auto" w:sz="4" w:space="0"/>
            </w:tcBorders>
            <w:noWrap w:val="0"/>
            <w:vAlign w:val="center"/>
          </w:tcPr>
          <w:p w14:paraId="48117E0C">
            <w:pPr>
              <w:keepNext w:val="0"/>
              <w:keepLines w:val="0"/>
              <w:pageBreakBefore w:val="0"/>
              <w:wordWrap/>
              <w:overflowPunct/>
              <w:topLinePunct w:val="0"/>
              <w:bidi w:val="0"/>
              <w:spacing w:line="360" w:lineRule="exact"/>
              <w:ind w:left="0" w:leftChars="0" w:firstLine="0" w:firstLineChar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2.2.4（1）</w:t>
            </w:r>
          </w:p>
        </w:tc>
        <w:tc>
          <w:tcPr>
            <w:tcW w:w="1247" w:type="dxa"/>
            <w:tcBorders>
              <w:top w:val="single" w:color="auto" w:sz="4" w:space="0"/>
              <w:left w:val="single" w:color="auto" w:sz="4" w:space="0"/>
              <w:bottom w:val="single" w:color="auto" w:sz="4" w:space="0"/>
              <w:right w:val="single" w:color="auto" w:sz="4" w:space="0"/>
            </w:tcBorders>
            <w:noWrap w:val="0"/>
            <w:vAlign w:val="center"/>
          </w:tcPr>
          <w:p w14:paraId="60BAFA5D">
            <w:pPr>
              <w:keepNext w:val="0"/>
              <w:keepLines w:val="0"/>
              <w:pageBreakBefore w:val="0"/>
              <w:wordWrap/>
              <w:overflowPunct/>
              <w:topLinePunct w:val="0"/>
              <w:bidi w:val="0"/>
              <w:spacing w:line="360" w:lineRule="exact"/>
              <w:ind w:left="0" w:leftChars="0" w:firstLine="0" w:firstLineChar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报价部分</w:t>
            </w:r>
          </w:p>
          <w:p w14:paraId="5E50BFC2">
            <w:pPr>
              <w:keepNext w:val="0"/>
              <w:keepLines w:val="0"/>
              <w:pageBreakBefore w:val="0"/>
              <w:wordWrap/>
              <w:overflowPunct/>
              <w:topLinePunct w:val="0"/>
              <w:bidi w:val="0"/>
              <w:spacing w:line="360" w:lineRule="exact"/>
              <w:ind w:left="0" w:leftChars="0" w:firstLine="0" w:firstLineChar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30</w:t>
            </w:r>
            <w:r>
              <w:rPr>
                <w:rFonts w:hint="eastAsia" w:ascii="宋体" w:hAnsi="宋体" w:eastAsia="宋体" w:cs="宋体"/>
                <w:color w:val="auto"/>
                <w:szCs w:val="21"/>
                <w:highlight w:val="none"/>
              </w:rPr>
              <w:t>分）</w:t>
            </w:r>
          </w:p>
        </w:tc>
        <w:tc>
          <w:tcPr>
            <w:tcW w:w="1791" w:type="dxa"/>
            <w:tcBorders>
              <w:top w:val="single" w:color="auto" w:sz="4" w:space="0"/>
              <w:left w:val="single" w:color="auto" w:sz="4" w:space="0"/>
              <w:bottom w:val="single" w:color="auto" w:sz="4" w:space="0"/>
              <w:right w:val="single" w:color="auto" w:sz="4" w:space="0"/>
            </w:tcBorders>
            <w:noWrap w:val="0"/>
            <w:vAlign w:val="center"/>
          </w:tcPr>
          <w:p w14:paraId="5FAA8554">
            <w:pPr>
              <w:keepNext w:val="0"/>
              <w:keepLines w:val="0"/>
              <w:pageBreakBefore w:val="0"/>
              <w:wordWrap/>
              <w:overflowPunct/>
              <w:topLinePunct w:val="0"/>
              <w:bidi w:val="0"/>
              <w:spacing w:line="360" w:lineRule="exact"/>
              <w:ind w:left="0" w:leftChars="0" w:firstLine="0" w:firstLineChar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投标</w:t>
            </w:r>
            <w:r>
              <w:rPr>
                <w:rFonts w:hint="eastAsia" w:ascii="宋体" w:hAnsi="宋体" w:eastAsia="宋体" w:cs="宋体"/>
                <w:color w:val="auto"/>
                <w:szCs w:val="21"/>
                <w:highlight w:val="none"/>
              </w:rPr>
              <w:t>报价</w:t>
            </w:r>
          </w:p>
        </w:tc>
        <w:tc>
          <w:tcPr>
            <w:tcW w:w="4928" w:type="dxa"/>
            <w:tcBorders>
              <w:top w:val="single" w:color="auto" w:sz="4" w:space="0"/>
              <w:left w:val="single" w:color="auto" w:sz="4" w:space="0"/>
              <w:bottom w:val="single" w:color="auto" w:sz="4" w:space="0"/>
              <w:right w:val="single" w:color="auto" w:sz="4" w:space="0"/>
            </w:tcBorders>
            <w:noWrap w:val="0"/>
            <w:vAlign w:val="center"/>
          </w:tcPr>
          <w:p w14:paraId="4F1D60D5">
            <w:pPr>
              <w:spacing w:line="240" w:lineRule="auto"/>
              <w:ind w:firstLine="0" w:firstLineChars="0"/>
              <w:jc w:val="left"/>
              <w:rPr>
                <w:rFonts w:hAnsi="宋体" w:cs="宋体"/>
                <w:color w:val="auto"/>
                <w:sz w:val="21"/>
                <w:szCs w:val="21"/>
                <w:highlight w:val="none"/>
              </w:rPr>
            </w:pPr>
            <w:r>
              <w:rPr>
                <w:rFonts w:hint="eastAsia" w:hAnsi="宋体"/>
                <w:color w:val="auto"/>
                <w:spacing w:val="4"/>
                <w:sz w:val="21"/>
                <w:szCs w:val="21"/>
                <w:highlight w:val="none"/>
              </w:rPr>
              <w:t>满</w:t>
            </w:r>
            <w:r>
              <w:rPr>
                <w:rFonts w:hint="eastAsia" w:hAnsi="宋体" w:cs="宋体"/>
                <w:color w:val="auto"/>
                <w:sz w:val="21"/>
                <w:szCs w:val="21"/>
                <w:highlight w:val="none"/>
              </w:rPr>
              <w:t>足招标文件要求且投标价格最低的投标报价为评标基准价，其价格分为满分。其他</w:t>
            </w:r>
            <w:r>
              <w:rPr>
                <w:rFonts w:hint="eastAsia" w:hAnsi="宋体" w:cs="宋体"/>
                <w:color w:val="auto"/>
                <w:sz w:val="21"/>
                <w:szCs w:val="21"/>
                <w:highlight w:val="none"/>
                <w:lang w:eastAsia="zh-CN"/>
              </w:rPr>
              <w:t>投标人</w:t>
            </w:r>
            <w:r>
              <w:rPr>
                <w:rFonts w:hint="eastAsia" w:hAnsi="宋体" w:cs="宋体"/>
                <w:color w:val="auto"/>
                <w:sz w:val="21"/>
                <w:szCs w:val="21"/>
                <w:highlight w:val="none"/>
              </w:rPr>
              <w:t>的价格分统一按照下列公式计算：投标报价得分=（评标基准价／投标报价）×30</w:t>
            </w:r>
          </w:p>
          <w:p w14:paraId="26367F80">
            <w:pPr>
              <w:keepNext w:val="0"/>
              <w:keepLines w:val="0"/>
              <w:pageBreakBefore w:val="0"/>
              <w:wordWrap/>
              <w:overflowPunct/>
              <w:topLinePunct w:val="0"/>
              <w:bidi w:val="0"/>
              <w:spacing w:line="360" w:lineRule="exact"/>
              <w:ind w:left="0" w:leftChars="0" w:firstLine="0" w:firstLineChars="0"/>
              <w:jc w:val="left"/>
              <w:rPr>
                <w:rFonts w:hint="eastAsia" w:hAnsi="宋体"/>
                <w:color w:val="auto"/>
                <w:spacing w:val="4"/>
                <w:sz w:val="21"/>
                <w:szCs w:val="21"/>
                <w:highlight w:val="none"/>
              </w:rPr>
            </w:pPr>
            <w:r>
              <w:rPr>
                <w:rFonts w:hint="eastAsia" w:hAnsi="宋体" w:cs="宋体"/>
                <w:color w:val="auto"/>
                <w:sz w:val="21"/>
                <w:szCs w:val="21"/>
                <w:highlight w:val="none"/>
              </w:rPr>
              <w:t>计算结果保留小数点后两位，第三位四舍五入</w:t>
            </w:r>
            <w:r>
              <w:rPr>
                <w:rFonts w:hint="eastAsia" w:hAnsi="宋体"/>
                <w:color w:val="auto"/>
                <w:spacing w:val="4"/>
                <w:sz w:val="21"/>
                <w:szCs w:val="21"/>
                <w:highlight w:val="none"/>
              </w:rPr>
              <w:t>。</w:t>
            </w:r>
          </w:p>
          <w:p w14:paraId="397F6EBA">
            <w:pPr>
              <w:keepNext w:val="0"/>
              <w:keepLines w:val="0"/>
              <w:pageBreakBefore w:val="0"/>
              <w:wordWrap/>
              <w:overflowPunct/>
              <w:topLinePunct w:val="0"/>
              <w:bidi w:val="0"/>
              <w:spacing w:line="360" w:lineRule="exact"/>
              <w:ind w:left="0" w:leftChars="0" w:firstLine="0" w:firstLineChars="0"/>
              <w:jc w:val="left"/>
              <w:rPr>
                <w:rFonts w:hint="eastAsia" w:hAnsi="宋体"/>
                <w:color w:val="auto"/>
                <w:spacing w:val="4"/>
                <w:sz w:val="21"/>
                <w:szCs w:val="21"/>
                <w:highlight w:val="none"/>
              </w:rPr>
            </w:pPr>
            <w:r>
              <w:rPr>
                <w:rFonts w:hint="eastAsia" w:hAnsi="宋体" w:cs="宋体"/>
                <w:color w:val="auto"/>
                <w:sz w:val="21"/>
                <w:szCs w:val="21"/>
                <w:highlight w:val="none"/>
              </w:rPr>
              <w:t>根据《国务院办公厅关于在政府采购中实施本国产品标准及相关政策的通知》（国办发〔2025〕34 号），投标人提供的产品符合本国产品标准的，对其投标报价给予20%的价格扣除，用扣除后的价格参与评审。投标人应按招标文件第六章格式出具《关于符合本国产品标准的声明函》。</w:t>
            </w:r>
          </w:p>
        </w:tc>
        <w:tc>
          <w:tcPr>
            <w:tcW w:w="770" w:type="dxa"/>
            <w:tcBorders>
              <w:top w:val="single" w:color="auto" w:sz="4" w:space="0"/>
              <w:left w:val="single" w:color="auto" w:sz="4" w:space="0"/>
              <w:bottom w:val="single" w:color="auto" w:sz="4" w:space="0"/>
              <w:right w:val="single" w:color="auto" w:sz="4" w:space="0"/>
            </w:tcBorders>
            <w:noWrap w:val="0"/>
            <w:vAlign w:val="center"/>
          </w:tcPr>
          <w:p w14:paraId="1B8A594C">
            <w:pPr>
              <w:keepNext w:val="0"/>
              <w:keepLines w:val="0"/>
              <w:pageBreakBefore w:val="0"/>
              <w:wordWrap/>
              <w:overflowPunct/>
              <w:topLinePunct w:val="0"/>
              <w:bidi w:val="0"/>
              <w:spacing w:line="360" w:lineRule="exact"/>
              <w:ind w:left="0" w:leftChars="0" w:firstLine="0" w:firstLineChars="0"/>
              <w:jc w:val="center"/>
              <w:rPr>
                <w:rFonts w:hint="default" w:ascii="宋体" w:hAnsi="宋体" w:eastAsia="宋体" w:cs="宋体"/>
                <w:color w:val="auto"/>
                <w:szCs w:val="21"/>
                <w:highlight w:val="none"/>
                <w:lang w:val="en-US"/>
              </w:rPr>
            </w:pPr>
            <w:r>
              <w:rPr>
                <w:rFonts w:hint="eastAsia" w:ascii="宋体" w:hAnsi="宋体" w:cs="宋体"/>
                <w:color w:val="auto"/>
                <w:szCs w:val="21"/>
                <w:highlight w:val="none"/>
                <w:lang w:val="en-US" w:eastAsia="zh-CN"/>
              </w:rPr>
              <w:t>30</w:t>
            </w:r>
          </w:p>
        </w:tc>
      </w:tr>
      <w:tr w14:paraId="094B9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1" w:hRule="atLeast"/>
          <w:jc w:val="center"/>
        </w:trPr>
        <w:tc>
          <w:tcPr>
            <w:tcW w:w="701" w:type="dxa"/>
            <w:vMerge w:val="restart"/>
            <w:tcBorders>
              <w:top w:val="single" w:color="auto" w:sz="4" w:space="0"/>
              <w:left w:val="single" w:color="auto" w:sz="4" w:space="0"/>
              <w:right w:val="single" w:color="auto" w:sz="4" w:space="0"/>
            </w:tcBorders>
            <w:noWrap w:val="0"/>
            <w:vAlign w:val="center"/>
          </w:tcPr>
          <w:p w14:paraId="5959CA4B">
            <w:pPr>
              <w:keepNext w:val="0"/>
              <w:keepLines w:val="0"/>
              <w:pageBreakBefore w:val="0"/>
              <w:wordWrap/>
              <w:overflowPunct/>
              <w:topLinePunct w:val="0"/>
              <w:bidi w:val="0"/>
              <w:spacing w:line="360" w:lineRule="exact"/>
              <w:ind w:left="0" w:leftChars="0" w:firstLine="0" w:firstLineChar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2.2.4（2）</w:t>
            </w:r>
          </w:p>
        </w:tc>
        <w:tc>
          <w:tcPr>
            <w:tcW w:w="1247" w:type="dxa"/>
            <w:vMerge w:val="restart"/>
            <w:tcBorders>
              <w:top w:val="single" w:color="auto" w:sz="4" w:space="0"/>
              <w:left w:val="single" w:color="auto" w:sz="4" w:space="0"/>
              <w:right w:val="single" w:color="auto" w:sz="4" w:space="0"/>
            </w:tcBorders>
            <w:noWrap w:val="0"/>
            <w:vAlign w:val="center"/>
          </w:tcPr>
          <w:p w14:paraId="035F207B">
            <w:pPr>
              <w:keepNext w:val="0"/>
              <w:keepLines w:val="0"/>
              <w:pageBreakBefore w:val="0"/>
              <w:wordWrap/>
              <w:overflowPunct/>
              <w:topLinePunct w:val="0"/>
              <w:bidi w:val="0"/>
              <w:spacing w:line="360" w:lineRule="exact"/>
              <w:ind w:left="0" w:leftChars="0" w:firstLine="0" w:firstLineChar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技术部分</w:t>
            </w:r>
          </w:p>
          <w:p w14:paraId="42693ACF">
            <w:pPr>
              <w:keepNext w:val="0"/>
              <w:keepLines w:val="0"/>
              <w:pageBreakBefore w:val="0"/>
              <w:wordWrap/>
              <w:overflowPunct/>
              <w:topLinePunct w:val="0"/>
              <w:bidi w:val="0"/>
              <w:spacing w:line="360" w:lineRule="exact"/>
              <w:ind w:left="0" w:leftChars="0" w:firstLine="0" w:firstLineChar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60</w:t>
            </w:r>
            <w:r>
              <w:rPr>
                <w:rFonts w:hint="eastAsia" w:ascii="宋体" w:hAnsi="宋体" w:eastAsia="宋体" w:cs="宋体"/>
                <w:color w:val="auto"/>
                <w:szCs w:val="21"/>
                <w:highlight w:val="none"/>
              </w:rPr>
              <w:t>分）</w:t>
            </w:r>
          </w:p>
        </w:tc>
        <w:tc>
          <w:tcPr>
            <w:tcW w:w="179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F26332">
            <w:pPr>
              <w:widowControl w:val="0"/>
              <w:spacing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供货及运输方案（15分）</w:t>
            </w:r>
          </w:p>
        </w:tc>
        <w:tc>
          <w:tcPr>
            <w:tcW w:w="492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C1BBE8">
            <w:pPr>
              <w:adjustRightInd w:val="0"/>
              <w:snapToGrid w:val="0"/>
              <w:spacing w:before="36" w:beforeLines="15" w:line="240" w:lineRule="auto"/>
              <w:ind w:left="0" w:leftChars="0" w:firstLine="0" w:firstLineChars="0"/>
              <w:jc w:val="left"/>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针对本项目提供供货及运输方案进行评价：</w:t>
            </w:r>
          </w:p>
          <w:p w14:paraId="39D172A2">
            <w:pPr>
              <w:adjustRightInd w:val="0"/>
              <w:snapToGrid w:val="0"/>
              <w:spacing w:before="36" w:beforeLines="15" w:line="240" w:lineRule="auto"/>
              <w:ind w:left="0" w:leftChars="0" w:firstLine="0" w:firstLineChars="0"/>
              <w:jc w:val="left"/>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1.供货实施方案</w:t>
            </w:r>
          </w:p>
          <w:p w14:paraId="1ACDD405">
            <w:pPr>
              <w:adjustRightInd w:val="0"/>
              <w:snapToGrid w:val="0"/>
              <w:spacing w:before="36" w:beforeLines="15" w:line="240" w:lineRule="auto"/>
              <w:ind w:left="0" w:leftChars="0" w:firstLine="0" w:firstLineChars="0"/>
              <w:jc w:val="left"/>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2.运输配送方案</w:t>
            </w:r>
          </w:p>
          <w:p w14:paraId="092C9EEA">
            <w:pPr>
              <w:adjustRightInd w:val="0"/>
              <w:snapToGrid w:val="0"/>
              <w:spacing w:before="36" w:beforeLines="15" w:line="240" w:lineRule="auto"/>
              <w:ind w:left="0" w:leftChars="0" w:firstLine="0" w:firstLineChars="0"/>
              <w:jc w:val="left"/>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3.供货保障</w:t>
            </w:r>
          </w:p>
          <w:p w14:paraId="652693C3">
            <w:pPr>
              <w:adjustRightInd w:val="0"/>
              <w:snapToGrid w:val="0"/>
              <w:spacing w:before="36" w:beforeLines="15" w:line="240" w:lineRule="auto"/>
              <w:ind w:left="0" w:leftChars="0" w:firstLine="0" w:firstLineChars="0"/>
              <w:jc w:val="left"/>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4.供货检验及验收</w:t>
            </w:r>
          </w:p>
          <w:p w14:paraId="31B24747">
            <w:pPr>
              <w:adjustRightInd w:val="0"/>
              <w:snapToGrid w:val="0"/>
              <w:spacing w:before="36" w:beforeLines="15" w:line="240" w:lineRule="auto"/>
              <w:ind w:left="0" w:leftChars="0" w:firstLine="0" w:firstLineChars="0"/>
              <w:jc w:val="left"/>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5.现场服务措施及处理方案等</w:t>
            </w:r>
          </w:p>
          <w:p w14:paraId="50F2CDCF">
            <w:pPr>
              <w:adjustRightInd w:val="0"/>
              <w:snapToGrid w:val="0"/>
              <w:spacing w:before="36" w:beforeLines="15" w:line="240" w:lineRule="auto"/>
              <w:ind w:left="0" w:leftChars="0" w:firstLine="0" w:firstLineChars="0"/>
              <w:jc w:val="left"/>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以上五项内容每提供一小项内容适用于项目且无缺失的内容得3分，每一项描述混乱不清晰或内容有缺失的扣1分，扣至0分止，满分15分，未提供的得0分。</w:t>
            </w:r>
          </w:p>
          <w:p w14:paraId="21A18443">
            <w:pPr>
              <w:adjustRightInd w:val="0"/>
              <w:snapToGrid w:val="0"/>
              <w:spacing w:before="36" w:beforeLines="15" w:line="240" w:lineRule="auto"/>
              <w:ind w:left="0" w:leftChars="0" w:firstLine="0" w:firstLineChars="0"/>
              <w:jc w:val="left"/>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Cs w:val="21"/>
                <w:highlight w:val="none"/>
                <w:lang w:val="en-US" w:eastAsia="zh-CN"/>
              </w:rPr>
              <w:t>（缺失是指：不符合实际，存在偏离内容、内容前后不一致、文不对题、前后逻辑错误、内容缺失有瑕疵、无具体流程细节描述之处）。</w:t>
            </w:r>
          </w:p>
        </w:tc>
        <w:tc>
          <w:tcPr>
            <w:tcW w:w="77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495107">
            <w:pPr>
              <w:autoSpaceDE w:val="0"/>
              <w:autoSpaceDN w:val="0"/>
              <w:spacing w:line="240" w:lineRule="auto"/>
              <w:ind w:firstLine="0" w:firstLineChars="0"/>
              <w:jc w:val="center"/>
              <w:rPr>
                <w:rFonts w:hint="default" w:ascii="宋体" w:hAnsi="宋体" w:eastAsia="宋体" w:cs="宋体"/>
                <w:bCs/>
                <w:color w:val="auto"/>
                <w:kern w:val="21"/>
                <w:sz w:val="21"/>
                <w:szCs w:val="21"/>
                <w:highlight w:val="none"/>
                <w:lang w:val="en-US" w:eastAsia="zh-CN" w:bidi="ar-SA"/>
              </w:rPr>
            </w:pPr>
            <w:r>
              <w:rPr>
                <w:rFonts w:hint="eastAsia" w:hAnsi="宋体" w:eastAsia="宋体" w:cs="宋体"/>
                <w:bCs/>
                <w:color w:val="auto"/>
                <w:kern w:val="21"/>
                <w:sz w:val="21"/>
                <w:szCs w:val="21"/>
                <w:highlight w:val="none"/>
                <w:lang w:val="en-US" w:eastAsia="zh-CN" w:bidi="ar-SA"/>
              </w:rPr>
              <w:t>15</w:t>
            </w:r>
          </w:p>
        </w:tc>
      </w:tr>
      <w:tr w14:paraId="4C3C4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jc w:val="center"/>
        </w:trPr>
        <w:tc>
          <w:tcPr>
            <w:tcW w:w="701" w:type="dxa"/>
            <w:vMerge w:val="continue"/>
            <w:tcBorders>
              <w:left w:val="single" w:color="auto" w:sz="4" w:space="0"/>
              <w:right w:val="single" w:color="auto" w:sz="4" w:space="0"/>
            </w:tcBorders>
            <w:noWrap w:val="0"/>
            <w:vAlign w:val="center"/>
          </w:tcPr>
          <w:p w14:paraId="0CD45158">
            <w:pPr>
              <w:keepNext w:val="0"/>
              <w:keepLines w:val="0"/>
              <w:pageBreakBefore w:val="0"/>
              <w:wordWrap/>
              <w:overflowPunct/>
              <w:topLinePunct w:val="0"/>
              <w:bidi w:val="0"/>
              <w:spacing w:line="360" w:lineRule="exact"/>
              <w:jc w:val="center"/>
              <w:rPr>
                <w:rFonts w:hint="eastAsia" w:ascii="宋体" w:hAnsi="宋体" w:eastAsia="宋体" w:cs="宋体"/>
                <w:color w:val="auto"/>
                <w:szCs w:val="21"/>
                <w:highlight w:val="none"/>
              </w:rPr>
            </w:pPr>
          </w:p>
        </w:tc>
        <w:tc>
          <w:tcPr>
            <w:tcW w:w="1247" w:type="dxa"/>
            <w:vMerge w:val="continue"/>
            <w:tcBorders>
              <w:left w:val="single" w:color="auto" w:sz="4" w:space="0"/>
              <w:right w:val="single" w:color="auto" w:sz="4" w:space="0"/>
            </w:tcBorders>
            <w:noWrap w:val="0"/>
            <w:vAlign w:val="center"/>
          </w:tcPr>
          <w:p w14:paraId="0B5304F8">
            <w:pPr>
              <w:keepNext w:val="0"/>
              <w:keepLines w:val="0"/>
              <w:pageBreakBefore w:val="0"/>
              <w:wordWrap/>
              <w:overflowPunct/>
              <w:topLinePunct w:val="0"/>
              <w:bidi w:val="0"/>
              <w:spacing w:line="360" w:lineRule="exact"/>
              <w:jc w:val="center"/>
              <w:rPr>
                <w:rFonts w:hint="eastAsia" w:ascii="宋体" w:hAnsi="宋体" w:eastAsia="宋体" w:cs="宋体"/>
                <w:color w:val="auto"/>
                <w:szCs w:val="21"/>
                <w:highlight w:val="none"/>
              </w:rPr>
            </w:pPr>
          </w:p>
        </w:tc>
        <w:tc>
          <w:tcPr>
            <w:tcW w:w="1791" w:type="dxa"/>
            <w:tcBorders>
              <w:top w:val="single" w:color="auto" w:sz="4" w:space="0"/>
              <w:left w:val="single" w:color="auto" w:sz="4" w:space="0"/>
              <w:right w:val="single" w:color="auto" w:sz="4" w:space="0"/>
            </w:tcBorders>
            <w:shd w:val="clear" w:color="auto" w:fill="auto"/>
            <w:noWrap w:val="0"/>
            <w:vAlign w:val="center"/>
          </w:tcPr>
          <w:p w14:paraId="45CF3077">
            <w:pPr>
              <w:widowControl w:val="0"/>
              <w:spacing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质量保证措施</w:t>
            </w:r>
          </w:p>
          <w:p w14:paraId="7EC225D9">
            <w:pPr>
              <w:widowControl w:val="0"/>
              <w:spacing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（8分）</w:t>
            </w:r>
          </w:p>
        </w:tc>
        <w:tc>
          <w:tcPr>
            <w:tcW w:w="492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B250F71">
            <w:pPr>
              <w:adjustRightInd w:val="0"/>
              <w:snapToGrid w:val="0"/>
              <w:spacing w:before="36" w:beforeLines="15" w:line="240" w:lineRule="auto"/>
              <w:ind w:left="0" w:leftChars="0" w:firstLine="0" w:firstLineChars="0"/>
              <w:jc w:val="left"/>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根据投标人提供的质量保证措施及承诺进行评价：</w:t>
            </w:r>
          </w:p>
          <w:p w14:paraId="4C3277DD">
            <w:pPr>
              <w:adjustRightInd w:val="0"/>
              <w:snapToGrid w:val="0"/>
              <w:spacing w:before="36" w:beforeLines="15" w:line="240" w:lineRule="auto"/>
              <w:ind w:left="0" w:leftChars="0" w:firstLine="0" w:firstLineChars="0"/>
              <w:jc w:val="left"/>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1.项目质量管理；</w:t>
            </w:r>
          </w:p>
          <w:p w14:paraId="1718F91F">
            <w:pPr>
              <w:adjustRightInd w:val="0"/>
              <w:snapToGrid w:val="0"/>
              <w:spacing w:before="36" w:beforeLines="15" w:line="240" w:lineRule="auto"/>
              <w:ind w:left="0" w:leftChars="0" w:firstLine="0" w:firstLineChars="0"/>
              <w:jc w:val="left"/>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2.项目服务人员架构管理；</w:t>
            </w:r>
          </w:p>
          <w:p w14:paraId="00350FA7">
            <w:pPr>
              <w:adjustRightInd w:val="0"/>
              <w:snapToGrid w:val="0"/>
              <w:spacing w:before="36" w:beforeLines="15" w:line="240" w:lineRule="auto"/>
              <w:ind w:left="0" w:leftChars="0" w:firstLine="0" w:firstLineChars="0"/>
              <w:jc w:val="left"/>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3.项目进度安排以及应急情况安排；</w:t>
            </w:r>
          </w:p>
          <w:p w14:paraId="07691B83">
            <w:pPr>
              <w:adjustRightInd w:val="0"/>
              <w:snapToGrid w:val="0"/>
              <w:spacing w:before="36" w:beforeLines="15" w:line="240" w:lineRule="auto"/>
              <w:ind w:left="0" w:leftChars="0" w:firstLine="0" w:firstLineChars="0"/>
              <w:jc w:val="left"/>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4.项目实施安全保障；</w:t>
            </w:r>
          </w:p>
          <w:p w14:paraId="22CDD95B">
            <w:pPr>
              <w:adjustRightInd w:val="0"/>
              <w:snapToGrid w:val="0"/>
              <w:spacing w:before="36" w:beforeLines="15" w:line="240" w:lineRule="auto"/>
              <w:ind w:left="0" w:leftChars="0" w:firstLine="0" w:firstLineChars="0"/>
              <w:jc w:val="left"/>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以上四项内容每提供一小项内容适用于项目且无缺失的内容得2分，每一项描述混乱不清晰或内容有缺失的扣1分，扣至0分止，满分8分，未提供的得0 分。</w:t>
            </w:r>
          </w:p>
          <w:p w14:paraId="2D025D77">
            <w:pPr>
              <w:adjustRightInd w:val="0"/>
              <w:snapToGrid w:val="0"/>
              <w:spacing w:before="36" w:beforeLines="15" w:line="240" w:lineRule="auto"/>
              <w:ind w:left="0" w:leftChars="0" w:firstLine="0" w:firstLineChars="0"/>
              <w:jc w:val="left"/>
              <w:rPr>
                <w:rFonts w:hint="eastAsia" w:ascii="宋体" w:hAnsi="宋体" w:eastAsia="宋体" w:cs="宋体"/>
                <w:bCs/>
                <w:color w:val="auto"/>
                <w:kern w:val="21"/>
                <w:sz w:val="21"/>
                <w:szCs w:val="21"/>
                <w:highlight w:val="none"/>
                <w:lang w:val="en-US" w:eastAsia="zh-CN" w:bidi="ar-SA"/>
              </w:rPr>
            </w:pPr>
            <w:r>
              <w:rPr>
                <w:rFonts w:hint="eastAsia" w:ascii="宋体" w:hAnsi="宋体" w:eastAsia="宋体" w:cs="宋体"/>
                <w:bCs/>
                <w:color w:val="auto"/>
                <w:szCs w:val="21"/>
                <w:highlight w:val="none"/>
                <w:lang w:val="en-US" w:eastAsia="zh-CN"/>
              </w:rPr>
              <w:t>（缺失是指：不符合实际，存在偏离内容、内容前后不一致、文不对题、前后逻辑错误、内容缺失有瑕疵、无具体流程细节描述之处）。</w:t>
            </w:r>
          </w:p>
        </w:tc>
        <w:tc>
          <w:tcPr>
            <w:tcW w:w="770" w:type="dxa"/>
            <w:tcBorders>
              <w:top w:val="single" w:color="auto" w:sz="4" w:space="0"/>
              <w:left w:val="single" w:color="auto" w:sz="4" w:space="0"/>
              <w:right w:val="single" w:color="auto" w:sz="4" w:space="0"/>
            </w:tcBorders>
            <w:shd w:val="clear" w:color="auto" w:fill="auto"/>
            <w:noWrap w:val="0"/>
            <w:vAlign w:val="center"/>
          </w:tcPr>
          <w:p w14:paraId="2CBBF82B">
            <w:pPr>
              <w:keepNext w:val="0"/>
              <w:keepLines w:val="0"/>
              <w:pageBreakBefore w:val="0"/>
              <w:kinsoku/>
              <w:wordWrap w:val="0"/>
              <w:overflowPunct/>
              <w:topLinePunct/>
              <w:autoSpaceDE w:val="0"/>
              <w:autoSpaceDN w:val="0"/>
              <w:bidi w:val="0"/>
              <w:spacing w:line="240" w:lineRule="auto"/>
              <w:ind w:firstLine="0" w:firstLineChars="0"/>
              <w:jc w:val="center"/>
              <w:rPr>
                <w:rFonts w:hint="default" w:ascii="宋体" w:hAnsi="宋体" w:eastAsia="宋体" w:cs="宋体"/>
                <w:bCs/>
                <w:color w:val="auto"/>
                <w:kern w:val="21"/>
                <w:sz w:val="21"/>
                <w:szCs w:val="21"/>
                <w:highlight w:val="none"/>
                <w:lang w:val="en-US" w:eastAsia="zh-CN" w:bidi="ar-SA"/>
              </w:rPr>
            </w:pPr>
            <w:r>
              <w:rPr>
                <w:rFonts w:hint="eastAsia" w:hAnsi="宋体" w:cs="宋体"/>
                <w:bCs/>
                <w:color w:val="auto"/>
                <w:kern w:val="21"/>
                <w:sz w:val="21"/>
                <w:szCs w:val="21"/>
                <w:highlight w:val="none"/>
                <w:lang w:val="en-US" w:eastAsia="zh-CN" w:bidi="ar-SA"/>
              </w:rPr>
              <w:t>8</w:t>
            </w:r>
          </w:p>
        </w:tc>
      </w:tr>
      <w:tr w14:paraId="168C8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 w:hRule="atLeast"/>
          <w:jc w:val="center"/>
        </w:trPr>
        <w:tc>
          <w:tcPr>
            <w:tcW w:w="701" w:type="dxa"/>
            <w:vMerge w:val="continue"/>
            <w:tcBorders>
              <w:left w:val="single" w:color="auto" w:sz="4" w:space="0"/>
              <w:right w:val="single" w:color="auto" w:sz="4" w:space="0"/>
            </w:tcBorders>
            <w:noWrap w:val="0"/>
            <w:vAlign w:val="center"/>
          </w:tcPr>
          <w:p w14:paraId="6DAF7E50">
            <w:pPr>
              <w:keepNext w:val="0"/>
              <w:keepLines w:val="0"/>
              <w:pageBreakBefore w:val="0"/>
              <w:wordWrap/>
              <w:overflowPunct/>
              <w:topLinePunct w:val="0"/>
              <w:bidi w:val="0"/>
              <w:spacing w:line="360" w:lineRule="exact"/>
              <w:jc w:val="center"/>
              <w:rPr>
                <w:rFonts w:hint="eastAsia" w:ascii="宋体" w:hAnsi="宋体" w:eastAsia="宋体" w:cs="宋体"/>
                <w:color w:val="auto"/>
                <w:szCs w:val="21"/>
                <w:highlight w:val="none"/>
              </w:rPr>
            </w:pPr>
          </w:p>
        </w:tc>
        <w:tc>
          <w:tcPr>
            <w:tcW w:w="1247" w:type="dxa"/>
            <w:vMerge w:val="continue"/>
            <w:tcBorders>
              <w:left w:val="single" w:color="auto" w:sz="4" w:space="0"/>
              <w:right w:val="single" w:color="auto" w:sz="4" w:space="0"/>
            </w:tcBorders>
            <w:noWrap w:val="0"/>
            <w:vAlign w:val="center"/>
          </w:tcPr>
          <w:p w14:paraId="43ECD15C">
            <w:pPr>
              <w:keepNext w:val="0"/>
              <w:keepLines w:val="0"/>
              <w:pageBreakBefore w:val="0"/>
              <w:wordWrap/>
              <w:overflowPunct/>
              <w:topLinePunct w:val="0"/>
              <w:bidi w:val="0"/>
              <w:spacing w:line="360" w:lineRule="exact"/>
              <w:jc w:val="center"/>
              <w:rPr>
                <w:rFonts w:hint="eastAsia" w:ascii="宋体" w:hAnsi="宋体" w:eastAsia="宋体" w:cs="宋体"/>
                <w:color w:val="auto"/>
                <w:szCs w:val="21"/>
                <w:highlight w:val="none"/>
              </w:rPr>
            </w:pPr>
          </w:p>
        </w:tc>
        <w:tc>
          <w:tcPr>
            <w:tcW w:w="1791" w:type="dxa"/>
            <w:tcBorders>
              <w:left w:val="single" w:color="auto" w:sz="4" w:space="0"/>
              <w:right w:val="single" w:color="auto" w:sz="4" w:space="0"/>
            </w:tcBorders>
            <w:shd w:val="clear" w:color="auto" w:fill="auto"/>
            <w:noWrap w:val="0"/>
            <w:vAlign w:val="center"/>
          </w:tcPr>
          <w:p w14:paraId="7C127093">
            <w:pPr>
              <w:widowControl w:val="0"/>
              <w:spacing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售后服务保障</w:t>
            </w:r>
          </w:p>
          <w:p w14:paraId="0A288B13">
            <w:pPr>
              <w:widowControl w:val="0"/>
              <w:spacing w:line="240" w:lineRule="auto"/>
              <w:ind w:left="0" w:leftChars="0" w:firstLine="0" w:firstLineChars="0"/>
              <w:jc w:val="center"/>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（6分）</w:t>
            </w:r>
          </w:p>
        </w:tc>
        <w:tc>
          <w:tcPr>
            <w:tcW w:w="492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CA5793E">
            <w:pPr>
              <w:adjustRightInd w:val="0"/>
              <w:snapToGrid w:val="0"/>
              <w:spacing w:before="36" w:beforeLines="15" w:line="240" w:lineRule="auto"/>
              <w:ind w:left="0" w:leftChars="0" w:firstLine="0" w:firstLineChars="0"/>
              <w:jc w:val="left"/>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根据投标人提供售后服务保障方案进行评价：</w:t>
            </w:r>
          </w:p>
          <w:p w14:paraId="27F43E12">
            <w:pPr>
              <w:adjustRightInd w:val="0"/>
              <w:snapToGrid w:val="0"/>
              <w:spacing w:before="36" w:beforeLines="15" w:line="240" w:lineRule="auto"/>
              <w:ind w:left="0" w:leftChars="0" w:firstLine="0" w:firstLineChars="0"/>
              <w:jc w:val="left"/>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1.售后服务承诺</w:t>
            </w:r>
          </w:p>
          <w:p w14:paraId="07C23FDE">
            <w:pPr>
              <w:adjustRightInd w:val="0"/>
              <w:snapToGrid w:val="0"/>
              <w:spacing w:before="36" w:beforeLines="15" w:line="240" w:lineRule="auto"/>
              <w:ind w:left="0" w:leftChars="0" w:firstLine="0" w:firstLineChars="0"/>
              <w:jc w:val="left"/>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2.售后响应时间</w:t>
            </w:r>
          </w:p>
          <w:p w14:paraId="0AB2FDBF">
            <w:pPr>
              <w:adjustRightInd w:val="0"/>
              <w:snapToGrid w:val="0"/>
              <w:spacing w:before="36" w:beforeLines="15" w:line="240" w:lineRule="auto"/>
              <w:ind w:left="0" w:leftChars="0" w:firstLine="0" w:firstLineChars="0"/>
              <w:jc w:val="left"/>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3.售后服务保障方案</w:t>
            </w:r>
          </w:p>
          <w:p w14:paraId="71C63F1F">
            <w:pPr>
              <w:adjustRightInd w:val="0"/>
              <w:snapToGrid w:val="0"/>
              <w:spacing w:before="36" w:beforeLines="15" w:line="240" w:lineRule="auto"/>
              <w:ind w:left="0" w:leftChars="0" w:firstLine="0" w:firstLineChars="0"/>
              <w:jc w:val="left"/>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以上三项内容每提供一小项内容适用于项目且无缺失的内容得2分，每一项描述混乱不清晰或内容有缺失的扣1分，扣至0分止，未提供的得0 分。</w:t>
            </w:r>
          </w:p>
          <w:p w14:paraId="22E19CB2">
            <w:pPr>
              <w:adjustRightInd w:val="0"/>
              <w:snapToGrid w:val="0"/>
              <w:spacing w:before="36" w:beforeLines="15" w:line="240" w:lineRule="auto"/>
              <w:ind w:left="0" w:leftChars="0" w:firstLine="0" w:firstLineChars="0"/>
              <w:jc w:val="left"/>
              <w:rPr>
                <w:rFonts w:hint="eastAsia" w:ascii="宋体" w:hAnsi="宋体" w:eastAsia="宋体" w:cs="宋体"/>
                <w:bCs/>
                <w:color w:val="auto"/>
                <w:kern w:val="21"/>
                <w:sz w:val="21"/>
                <w:szCs w:val="21"/>
                <w:highlight w:val="none"/>
                <w:lang w:val="en-US" w:eastAsia="zh-CN" w:bidi="ar-SA"/>
              </w:rPr>
            </w:pPr>
            <w:r>
              <w:rPr>
                <w:rFonts w:hint="eastAsia" w:ascii="宋体" w:hAnsi="宋体" w:eastAsia="宋体" w:cs="宋体"/>
                <w:bCs/>
                <w:color w:val="auto"/>
                <w:szCs w:val="21"/>
                <w:highlight w:val="none"/>
                <w:lang w:val="en-US" w:eastAsia="zh-CN"/>
              </w:rPr>
              <w:t>（缺失是指：不符合实际，存在偏离内容、内容前后不一致、文不对题、前后逻辑错误、内容缺失有瑕疵、无具体流程细节描述之处）。</w:t>
            </w:r>
          </w:p>
        </w:tc>
        <w:tc>
          <w:tcPr>
            <w:tcW w:w="770" w:type="dxa"/>
            <w:tcBorders>
              <w:left w:val="single" w:color="auto" w:sz="4" w:space="0"/>
              <w:right w:val="single" w:color="auto" w:sz="4" w:space="0"/>
            </w:tcBorders>
            <w:shd w:val="clear" w:color="auto" w:fill="auto"/>
            <w:noWrap w:val="0"/>
            <w:vAlign w:val="center"/>
          </w:tcPr>
          <w:p w14:paraId="6F17B353">
            <w:pPr>
              <w:autoSpaceDE w:val="0"/>
              <w:autoSpaceDN w:val="0"/>
              <w:spacing w:line="240" w:lineRule="auto"/>
              <w:ind w:firstLine="0" w:firstLineChars="0"/>
              <w:jc w:val="center"/>
              <w:rPr>
                <w:rFonts w:hint="default" w:ascii="宋体" w:hAnsi="宋体" w:eastAsia="宋体" w:cs="宋体"/>
                <w:bCs/>
                <w:color w:val="auto"/>
                <w:kern w:val="21"/>
                <w:sz w:val="21"/>
                <w:szCs w:val="21"/>
                <w:highlight w:val="none"/>
                <w:lang w:val="en-US" w:eastAsia="zh-CN" w:bidi="ar-SA"/>
              </w:rPr>
            </w:pPr>
            <w:r>
              <w:rPr>
                <w:rFonts w:hint="eastAsia" w:hAnsi="宋体" w:eastAsia="宋体" w:cs="宋体"/>
                <w:bCs/>
                <w:color w:val="auto"/>
                <w:kern w:val="21"/>
                <w:sz w:val="21"/>
                <w:szCs w:val="21"/>
                <w:highlight w:val="none"/>
                <w:lang w:val="en-US" w:eastAsia="zh-CN" w:bidi="ar-SA"/>
              </w:rPr>
              <w:t>6</w:t>
            </w:r>
          </w:p>
        </w:tc>
      </w:tr>
      <w:tr w14:paraId="5F08D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01" w:type="dxa"/>
            <w:vMerge w:val="continue"/>
            <w:tcBorders>
              <w:left w:val="single" w:color="auto" w:sz="4" w:space="0"/>
              <w:right w:val="single" w:color="auto" w:sz="4" w:space="0"/>
            </w:tcBorders>
            <w:noWrap w:val="0"/>
            <w:vAlign w:val="center"/>
          </w:tcPr>
          <w:p w14:paraId="33CE8368">
            <w:pPr>
              <w:keepNext w:val="0"/>
              <w:keepLines w:val="0"/>
              <w:pageBreakBefore w:val="0"/>
              <w:wordWrap/>
              <w:overflowPunct/>
              <w:topLinePunct w:val="0"/>
              <w:bidi w:val="0"/>
              <w:spacing w:line="360" w:lineRule="exact"/>
              <w:jc w:val="center"/>
              <w:rPr>
                <w:rFonts w:hint="eastAsia" w:ascii="宋体" w:hAnsi="宋体" w:eastAsia="宋体" w:cs="宋体"/>
                <w:color w:val="auto"/>
                <w:szCs w:val="21"/>
                <w:highlight w:val="none"/>
              </w:rPr>
            </w:pPr>
          </w:p>
        </w:tc>
        <w:tc>
          <w:tcPr>
            <w:tcW w:w="1247" w:type="dxa"/>
            <w:vMerge w:val="continue"/>
            <w:tcBorders>
              <w:left w:val="single" w:color="auto" w:sz="4" w:space="0"/>
              <w:right w:val="single" w:color="auto" w:sz="4" w:space="0"/>
            </w:tcBorders>
            <w:noWrap w:val="0"/>
            <w:vAlign w:val="center"/>
          </w:tcPr>
          <w:p w14:paraId="0AE3FB67">
            <w:pPr>
              <w:keepNext w:val="0"/>
              <w:keepLines w:val="0"/>
              <w:pageBreakBefore w:val="0"/>
              <w:wordWrap/>
              <w:overflowPunct/>
              <w:topLinePunct w:val="0"/>
              <w:bidi w:val="0"/>
              <w:spacing w:line="360" w:lineRule="exact"/>
              <w:jc w:val="center"/>
              <w:rPr>
                <w:rFonts w:hint="eastAsia" w:ascii="宋体" w:hAnsi="宋体" w:eastAsia="宋体" w:cs="宋体"/>
                <w:color w:val="auto"/>
                <w:szCs w:val="21"/>
                <w:highlight w:val="none"/>
              </w:rPr>
            </w:pPr>
          </w:p>
        </w:tc>
        <w:tc>
          <w:tcPr>
            <w:tcW w:w="1791" w:type="dxa"/>
            <w:tcBorders>
              <w:left w:val="single" w:color="auto" w:sz="4" w:space="0"/>
              <w:right w:val="single" w:color="auto" w:sz="4" w:space="0"/>
            </w:tcBorders>
            <w:shd w:val="clear" w:color="auto" w:fill="auto"/>
            <w:noWrap w:val="0"/>
            <w:vAlign w:val="center"/>
          </w:tcPr>
          <w:p w14:paraId="32A3B76A">
            <w:pPr>
              <w:widowControl w:val="0"/>
              <w:spacing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应急预案</w:t>
            </w:r>
          </w:p>
          <w:p w14:paraId="47F6797E">
            <w:pPr>
              <w:widowControl w:val="0"/>
              <w:spacing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（12分）</w:t>
            </w:r>
          </w:p>
        </w:tc>
        <w:tc>
          <w:tcPr>
            <w:tcW w:w="4928" w:type="dxa"/>
            <w:tcBorders>
              <w:top w:val="single" w:color="auto" w:sz="4" w:space="0"/>
              <w:left w:val="single" w:color="auto" w:sz="4" w:space="0"/>
              <w:right w:val="single" w:color="auto" w:sz="4" w:space="0"/>
            </w:tcBorders>
            <w:shd w:val="clear" w:color="auto" w:fill="auto"/>
            <w:noWrap w:val="0"/>
            <w:vAlign w:val="center"/>
          </w:tcPr>
          <w:p w14:paraId="64080CAF">
            <w:pPr>
              <w:adjustRightInd w:val="0"/>
              <w:snapToGrid w:val="0"/>
              <w:spacing w:before="36" w:beforeLines="15" w:line="240" w:lineRule="auto"/>
              <w:ind w:left="0" w:leftChars="0" w:firstLine="0" w:firstLineChars="0"/>
              <w:jc w:val="left"/>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zh-CN" w:eastAsia="zh-CN"/>
              </w:rPr>
              <w:t>针对本项目所提供的应急预案</w:t>
            </w:r>
            <w:r>
              <w:rPr>
                <w:rFonts w:hint="eastAsia" w:ascii="宋体" w:hAnsi="宋体" w:eastAsia="宋体" w:cs="宋体"/>
                <w:bCs/>
                <w:color w:val="auto"/>
                <w:szCs w:val="21"/>
                <w:highlight w:val="none"/>
                <w:lang w:val="en-US" w:eastAsia="zh-CN"/>
              </w:rPr>
              <w:t>进行评价：</w:t>
            </w:r>
          </w:p>
          <w:p w14:paraId="7FC6B89C">
            <w:pPr>
              <w:adjustRightInd w:val="0"/>
              <w:snapToGrid w:val="0"/>
              <w:spacing w:before="36" w:beforeLines="15" w:line="240" w:lineRule="auto"/>
              <w:ind w:left="0" w:leftChars="0" w:firstLine="0" w:firstLineChars="0"/>
              <w:jc w:val="left"/>
              <w:rPr>
                <w:rFonts w:hint="eastAsia" w:ascii="宋体" w:hAnsi="宋体" w:eastAsia="宋体" w:cs="宋体"/>
                <w:bCs/>
                <w:color w:val="auto"/>
                <w:szCs w:val="21"/>
                <w:highlight w:val="none"/>
                <w:lang w:val="zh-CN" w:eastAsia="zh-CN"/>
              </w:rPr>
            </w:pPr>
            <w:r>
              <w:rPr>
                <w:rFonts w:hint="eastAsia" w:ascii="宋体" w:hAnsi="宋体" w:eastAsia="宋体" w:cs="宋体"/>
                <w:bCs/>
                <w:color w:val="auto"/>
                <w:szCs w:val="21"/>
                <w:highlight w:val="none"/>
                <w:lang w:val="en-US" w:eastAsia="zh-CN"/>
              </w:rPr>
              <w:t>1.</w:t>
            </w:r>
            <w:r>
              <w:rPr>
                <w:rFonts w:hint="eastAsia" w:ascii="宋体" w:hAnsi="宋体" w:eastAsia="宋体" w:cs="宋体"/>
                <w:bCs/>
                <w:color w:val="auto"/>
                <w:szCs w:val="21"/>
                <w:highlight w:val="none"/>
                <w:lang w:val="zh-CN" w:eastAsia="zh-CN"/>
              </w:rPr>
              <w:t>出库应急预案</w:t>
            </w:r>
          </w:p>
          <w:p w14:paraId="6279E1BB">
            <w:pPr>
              <w:adjustRightInd w:val="0"/>
              <w:snapToGrid w:val="0"/>
              <w:spacing w:before="36" w:beforeLines="15" w:line="240" w:lineRule="auto"/>
              <w:ind w:left="0" w:leftChars="0" w:firstLine="0" w:firstLineChars="0"/>
              <w:jc w:val="left"/>
              <w:rPr>
                <w:rFonts w:hint="eastAsia" w:ascii="宋体" w:hAnsi="宋体" w:eastAsia="宋体" w:cs="宋体"/>
                <w:bCs/>
                <w:color w:val="auto"/>
                <w:szCs w:val="21"/>
                <w:highlight w:val="none"/>
                <w:lang w:val="zh-CN" w:eastAsia="zh-CN"/>
              </w:rPr>
            </w:pPr>
            <w:r>
              <w:rPr>
                <w:rFonts w:hint="eastAsia" w:ascii="宋体" w:hAnsi="宋体" w:eastAsia="宋体" w:cs="宋体"/>
                <w:bCs/>
                <w:color w:val="auto"/>
                <w:szCs w:val="21"/>
                <w:highlight w:val="none"/>
                <w:lang w:val="en-US" w:eastAsia="zh-CN"/>
              </w:rPr>
              <w:t>2.</w:t>
            </w:r>
            <w:r>
              <w:rPr>
                <w:rFonts w:hint="eastAsia" w:ascii="宋体" w:hAnsi="宋体" w:eastAsia="宋体" w:cs="宋体"/>
                <w:bCs/>
                <w:color w:val="auto"/>
                <w:szCs w:val="21"/>
                <w:highlight w:val="none"/>
                <w:lang w:val="zh-CN" w:eastAsia="zh-CN"/>
              </w:rPr>
              <w:t>货物运输过程的应急预案</w:t>
            </w:r>
          </w:p>
          <w:p w14:paraId="1656AD7A">
            <w:pPr>
              <w:adjustRightInd w:val="0"/>
              <w:snapToGrid w:val="0"/>
              <w:spacing w:before="36" w:beforeLines="15" w:line="240" w:lineRule="auto"/>
              <w:ind w:left="0" w:leftChars="0" w:firstLine="0" w:firstLineChars="0"/>
              <w:jc w:val="left"/>
              <w:rPr>
                <w:rFonts w:hint="eastAsia" w:ascii="宋体" w:hAnsi="宋体" w:eastAsia="宋体" w:cs="宋体"/>
                <w:bCs/>
                <w:color w:val="auto"/>
                <w:szCs w:val="21"/>
                <w:highlight w:val="none"/>
                <w:lang w:val="zh-CN" w:eastAsia="zh-CN"/>
              </w:rPr>
            </w:pPr>
            <w:r>
              <w:rPr>
                <w:rFonts w:hint="eastAsia" w:ascii="宋体" w:hAnsi="宋体" w:eastAsia="宋体" w:cs="宋体"/>
                <w:bCs/>
                <w:color w:val="auto"/>
                <w:szCs w:val="21"/>
                <w:highlight w:val="none"/>
                <w:lang w:val="en-US" w:eastAsia="zh-CN"/>
              </w:rPr>
              <w:t>3.</w:t>
            </w:r>
            <w:r>
              <w:rPr>
                <w:rFonts w:hint="eastAsia" w:ascii="宋体" w:hAnsi="宋体" w:eastAsia="宋体" w:cs="宋体"/>
                <w:bCs/>
                <w:color w:val="auto"/>
                <w:szCs w:val="21"/>
                <w:highlight w:val="none"/>
                <w:lang w:val="zh-CN" w:eastAsia="zh-CN"/>
              </w:rPr>
              <w:t>突发事件应急方案</w:t>
            </w:r>
          </w:p>
          <w:p w14:paraId="227C82AC">
            <w:pPr>
              <w:adjustRightInd w:val="0"/>
              <w:snapToGrid w:val="0"/>
              <w:spacing w:before="36" w:beforeLines="15" w:line="240" w:lineRule="auto"/>
              <w:ind w:left="0" w:leftChars="0" w:firstLine="0" w:firstLineChars="0"/>
              <w:jc w:val="left"/>
              <w:rPr>
                <w:rFonts w:hint="eastAsia" w:ascii="宋体" w:hAnsi="宋体" w:eastAsia="宋体" w:cs="宋体"/>
                <w:bCs/>
                <w:color w:val="auto"/>
                <w:szCs w:val="21"/>
                <w:highlight w:val="none"/>
                <w:lang w:val="zh-CN" w:eastAsia="zh-CN"/>
              </w:rPr>
            </w:pPr>
            <w:r>
              <w:rPr>
                <w:rFonts w:hint="eastAsia" w:ascii="宋体" w:hAnsi="宋体" w:eastAsia="宋体" w:cs="宋体"/>
                <w:bCs/>
                <w:color w:val="auto"/>
                <w:szCs w:val="21"/>
                <w:highlight w:val="none"/>
                <w:lang w:val="en-US" w:eastAsia="zh-CN"/>
              </w:rPr>
              <w:t>4.</w:t>
            </w:r>
            <w:r>
              <w:rPr>
                <w:rFonts w:hint="eastAsia" w:ascii="宋体" w:hAnsi="宋体" w:eastAsia="宋体" w:cs="宋体"/>
                <w:bCs/>
                <w:color w:val="auto"/>
                <w:szCs w:val="21"/>
                <w:highlight w:val="none"/>
                <w:lang w:val="zh-CN" w:eastAsia="zh-CN"/>
              </w:rPr>
              <w:t>到货损坏应急方案</w:t>
            </w:r>
          </w:p>
          <w:p w14:paraId="321700C7">
            <w:pPr>
              <w:adjustRightInd w:val="0"/>
              <w:snapToGrid w:val="0"/>
              <w:spacing w:before="36" w:beforeLines="15" w:line="240" w:lineRule="auto"/>
              <w:ind w:left="0" w:leftChars="0" w:firstLine="0" w:firstLineChars="0"/>
              <w:jc w:val="left"/>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以上四项内容每提供一小项内容适用于项目且无缺失的内容得3分，每一项描述混乱不清晰或内容有缺失的扣1分，扣至0分止，未提供的得0 分。</w:t>
            </w:r>
          </w:p>
          <w:p w14:paraId="6E7E8FAD">
            <w:pPr>
              <w:adjustRightInd w:val="0"/>
              <w:snapToGrid w:val="0"/>
              <w:spacing w:before="36" w:beforeLines="15" w:line="240" w:lineRule="auto"/>
              <w:ind w:left="0" w:leftChars="0" w:firstLine="0" w:firstLineChars="0"/>
              <w:jc w:val="left"/>
              <w:rPr>
                <w:rFonts w:hint="eastAsia" w:ascii="宋体" w:hAnsi="宋体" w:eastAsia="宋体" w:cs="宋体"/>
                <w:bCs/>
                <w:color w:val="auto"/>
                <w:kern w:val="21"/>
                <w:sz w:val="21"/>
                <w:szCs w:val="21"/>
                <w:highlight w:val="none"/>
                <w:lang w:val="en-US" w:eastAsia="zh-CN" w:bidi="ar-SA"/>
              </w:rPr>
            </w:pPr>
            <w:r>
              <w:rPr>
                <w:rFonts w:hint="eastAsia" w:ascii="宋体" w:hAnsi="宋体" w:eastAsia="宋体" w:cs="宋体"/>
                <w:bCs/>
                <w:color w:val="auto"/>
                <w:szCs w:val="21"/>
                <w:highlight w:val="none"/>
                <w:lang w:val="en-US" w:eastAsia="zh-CN"/>
              </w:rPr>
              <w:t>（缺失是指：不符合实际，存在偏离内容、内容前后不一致、文不对题、前后逻辑错误、内容缺失有瑕疵、无具体流程细节描述之处）。</w:t>
            </w:r>
          </w:p>
        </w:tc>
        <w:tc>
          <w:tcPr>
            <w:tcW w:w="770" w:type="dxa"/>
            <w:tcBorders>
              <w:left w:val="single" w:color="auto" w:sz="4" w:space="0"/>
              <w:bottom w:val="single" w:color="auto" w:sz="4" w:space="0"/>
              <w:right w:val="single" w:color="auto" w:sz="4" w:space="0"/>
            </w:tcBorders>
            <w:shd w:val="clear" w:color="auto" w:fill="auto"/>
            <w:noWrap w:val="0"/>
            <w:vAlign w:val="center"/>
          </w:tcPr>
          <w:p w14:paraId="211CFFD9">
            <w:pPr>
              <w:keepNext w:val="0"/>
              <w:keepLines w:val="0"/>
              <w:pageBreakBefore w:val="0"/>
              <w:kinsoku/>
              <w:wordWrap w:val="0"/>
              <w:overflowPunct/>
              <w:topLinePunct/>
              <w:autoSpaceDE w:val="0"/>
              <w:autoSpaceDN w:val="0"/>
              <w:bidi w:val="0"/>
              <w:spacing w:line="240" w:lineRule="auto"/>
              <w:ind w:firstLine="0" w:firstLineChars="0"/>
              <w:jc w:val="center"/>
              <w:rPr>
                <w:rFonts w:hint="default" w:ascii="宋体" w:hAnsi="宋体" w:eastAsia="宋体" w:cs="宋体"/>
                <w:bCs/>
                <w:color w:val="auto"/>
                <w:kern w:val="21"/>
                <w:sz w:val="21"/>
                <w:szCs w:val="21"/>
                <w:highlight w:val="none"/>
                <w:lang w:val="en-US" w:eastAsia="zh-CN" w:bidi="ar-SA"/>
              </w:rPr>
            </w:pPr>
            <w:r>
              <w:rPr>
                <w:rFonts w:hint="eastAsia" w:hAnsi="宋体" w:eastAsia="宋体" w:cs="宋体"/>
                <w:bCs/>
                <w:color w:val="auto"/>
                <w:kern w:val="21"/>
                <w:sz w:val="21"/>
                <w:szCs w:val="21"/>
                <w:highlight w:val="none"/>
                <w:lang w:val="en-US" w:eastAsia="zh-CN" w:bidi="ar-SA"/>
              </w:rPr>
              <w:t>12</w:t>
            </w:r>
          </w:p>
        </w:tc>
      </w:tr>
      <w:tr w14:paraId="30511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 w:hRule="atLeast"/>
          <w:jc w:val="center"/>
        </w:trPr>
        <w:tc>
          <w:tcPr>
            <w:tcW w:w="701" w:type="dxa"/>
            <w:vMerge w:val="continue"/>
            <w:tcBorders>
              <w:left w:val="single" w:color="auto" w:sz="4" w:space="0"/>
              <w:right w:val="single" w:color="auto" w:sz="4" w:space="0"/>
            </w:tcBorders>
            <w:noWrap w:val="0"/>
            <w:vAlign w:val="center"/>
          </w:tcPr>
          <w:p w14:paraId="444EA335">
            <w:pPr>
              <w:keepNext w:val="0"/>
              <w:keepLines w:val="0"/>
              <w:pageBreakBefore w:val="0"/>
              <w:wordWrap/>
              <w:overflowPunct/>
              <w:topLinePunct w:val="0"/>
              <w:bidi w:val="0"/>
              <w:spacing w:line="360" w:lineRule="exact"/>
              <w:jc w:val="center"/>
              <w:rPr>
                <w:rFonts w:hint="eastAsia" w:ascii="宋体" w:hAnsi="宋体" w:eastAsia="宋体" w:cs="宋体"/>
                <w:color w:val="auto"/>
                <w:szCs w:val="21"/>
                <w:highlight w:val="none"/>
              </w:rPr>
            </w:pPr>
          </w:p>
        </w:tc>
        <w:tc>
          <w:tcPr>
            <w:tcW w:w="1247" w:type="dxa"/>
            <w:vMerge w:val="continue"/>
            <w:tcBorders>
              <w:left w:val="single" w:color="auto" w:sz="4" w:space="0"/>
              <w:right w:val="single" w:color="auto" w:sz="4" w:space="0"/>
            </w:tcBorders>
            <w:noWrap w:val="0"/>
            <w:vAlign w:val="center"/>
          </w:tcPr>
          <w:p w14:paraId="408095A4">
            <w:pPr>
              <w:keepNext w:val="0"/>
              <w:keepLines w:val="0"/>
              <w:pageBreakBefore w:val="0"/>
              <w:wordWrap/>
              <w:overflowPunct/>
              <w:topLinePunct w:val="0"/>
              <w:bidi w:val="0"/>
              <w:spacing w:line="360" w:lineRule="exact"/>
              <w:jc w:val="center"/>
              <w:rPr>
                <w:rFonts w:hint="eastAsia" w:ascii="宋体" w:hAnsi="宋体" w:eastAsia="宋体" w:cs="宋体"/>
                <w:color w:val="auto"/>
                <w:szCs w:val="21"/>
                <w:highlight w:val="none"/>
              </w:rPr>
            </w:pPr>
          </w:p>
        </w:tc>
        <w:tc>
          <w:tcPr>
            <w:tcW w:w="1791" w:type="dxa"/>
            <w:tcBorders>
              <w:left w:val="single" w:color="auto" w:sz="4" w:space="0"/>
              <w:bottom w:val="single" w:color="auto" w:sz="4" w:space="0"/>
              <w:right w:val="single" w:color="auto" w:sz="4" w:space="0"/>
            </w:tcBorders>
            <w:shd w:val="clear" w:color="auto" w:fill="auto"/>
            <w:noWrap w:val="0"/>
            <w:vAlign w:val="center"/>
          </w:tcPr>
          <w:p w14:paraId="28007EDA">
            <w:pPr>
              <w:widowControl w:val="0"/>
              <w:spacing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人员培训</w:t>
            </w:r>
          </w:p>
          <w:p w14:paraId="20037A81">
            <w:pPr>
              <w:widowControl w:val="0"/>
              <w:spacing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（9分）</w:t>
            </w:r>
          </w:p>
        </w:tc>
        <w:tc>
          <w:tcPr>
            <w:tcW w:w="492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6C1EAD">
            <w:pPr>
              <w:widowControl w:val="0"/>
              <w:spacing w:line="240" w:lineRule="auto"/>
              <w:ind w:left="0" w:leftChars="0" w:firstLine="0" w:firstLineChars="0"/>
              <w:jc w:val="left"/>
              <w:rPr>
                <w:rFonts w:hint="eastAsia" w:ascii="宋体" w:hAnsi="宋体" w:cs="宋体"/>
                <w:color w:val="auto"/>
                <w:highlight w:val="none"/>
                <w:lang w:val="en-US" w:eastAsia="zh-CN"/>
              </w:rPr>
            </w:pPr>
            <w:r>
              <w:rPr>
                <w:rFonts w:hint="eastAsia" w:ascii="宋体" w:hAnsi="宋体" w:eastAsia="宋体" w:cs="宋体"/>
                <w:bCs/>
                <w:color w:val="auto"/>
                <w:szCs w:val="21"/>
                <w:highlight w:val="none"/>
                <w:lang w:val="zh-CN" w:eastAsia="zh-CN"/>
              </w:rPr>
              <w:t>针对本项目所提供的</w:t>
            </w:r>
            <w:r>
              <w:rPr>
                <w:rFonts w:hint="eastAsia" w:ascii="宋体" w:hAnsi="宋体" w:eastAsia="宋体" w:cs="宋体"/>
                <w:color w:val="auto"/>
                <w:kern w:val="0"/>
                <w:sz w:val="21"/>
                <w:szCs w:val="21"/>
                <w:highlight w:val="none"/>
                <w:lang w:val="en-US" w:eastAsia="zh-CN" w:bidi="ar-SA"/>
              </w:rPr>
              <w:t>人员培训</w:t>
            </w:r>
            <w:r>
              <w:rPr>
                <w:rFonts w:hint="eastAsia" w:ascii="宋体" w:hAnsi="宋体" w:eastAsia="宋体" w:cs="宋体"/>
                <w:bCs/>
                <w:color w:val="auto"/>
                <w:szCs w:val="21"/>
                <w:highlight w:val="none"/>
                <w:lang w:val="en-US" w:eastAsia="zh-CN"/>
              </w:rPr>
              <w:t>进行评价：</w:t>
            </w:r>
          </w:p>
          <w:p w14:paraId="02966B55">
            <w:pPr>
              <w:numPr>
                <w:ilvl w:val="0"/>
                <w:numId w:val="0"/>
              </w:numPr>
              <w:adjustRightInd w:val="0"/>
              <w:snapToGrid w:val="0"/>
              <w:spacing w:before="36" w:beforeLines="15" w:line="240" w:lineRule="auto"/>
              <w:ind w:leftChars="0"/>
              <w:jc w:val="left"/>
              <w:rPr>
                <w:rFonts w:hint="eastAsia" w:ascii="宋体" w:hAnsi="宋体" w:cs="宋体"/>
                <w:color w:val="auto"/>
                <w:highlight w:val="none"/>
                <w:lang w:val="zh-CN"/>
              </w:rPr>
            </w:pPr>
            <w:r>
              <w:rPr>
                <w:rFonts w:hint="eastAsia" w:ascii="宋体" w:hAnsi="宋体" w:cs="宋体"/>
                <w:color w:val="auto"/>
                <w:highlight w:val="none"/>
                <w:lang w:val="en-US" w:eastAsia="zh-CN"/>
              </w:rPr>
              <w:t>1、</w:t>
            </w:r>
            <w:r>
              <w:rPr>
                <w:rFonts w:hint="eastAsia" w:ascii="宋体" w:hAnsi="宋体" w:cs="宋体"/>
                <w:color w:val="auto"/>
                <w:highlight w:val="none"/>
                <w:lang w:val="zh-CN"/>
              </w:rPr>
              <w:t>培训内容</w:t>
            </w:r>
          </w:p>
          <w:p w14:paraId="36FE086F">
            <w:pPr>
              <w:numPr>
                <w:ilvl w:val="0"/>
                <w:numId w:val="0"/>
              </w:numPr>
              <w:adjustRightInd w:val="0"/>
              <w:snapToGrid w:val="0"/>
              <w:spacing w:before="36" w:beforeLines="15" w:line="240" w:lineRule="auto"/>
              <w:ind w:leftChars="0"/>
              <w:jc w:val="left"/>
              <w:rPr>
                <w:rFonts w:hint="eastAsia" w:ascii="宋体" w:hAnsi="宋体" w:cs="宋体"/>
                <w:color w:val="auto"/>
                <w:highlight w:val="none"/>
                <w:lang w:val="zh-CN"/>
              </w:rPr>
            </w:pPr>
            <w:r>
              <w:rPr>
                <w:rFonts w:hint="eastAsia" w:ascii="宋体" w:hAnsi="宋体" w:cs="宋体"/>
                <w:color w:val="auto"/>
                <w:highlight w:val="none"/>
                <w:lang w:val="en-US" w:eastAsia="zh-CN"/>
              </w:rPr>
              <w:t>2、</w:t>
            </w:r>
            <w:r>
              <w:rPr>
                <w:rFonts w:hint="eastAsia" w:ascii="宋体" w:hAnsi="宋体" w:cs="宋体"/>
                <w:color w:val="auto"/>
                <w:highlight w:val="none"/>
                <w:lang w:val="zh-CN"/>
              </w:rPr>
              <w:t>培训时间及地点</w:t>
            </w:r>
          </w:p>
          <w:p w14:paraId="1A5B323B">
            <w:pPr>
              <w:numPr>
                <w:ilvl w:val="0"/>
                <w:numId w:val="0"/>
              </w:numPr>
              <w:adjustRightInd w:val="0"/>
              <w:snapToGrid w:val="0"/>
              <w:spacing w:before="36" w:beforeLines="15" w:line="240" w:lineRule="auto"/>
              <w:ind w:leftChars="0"/>
              <w:jc w:val="left"/>
              <w:rPr>
                <w:rFonts w:hint="eastAsia" w:ascii="宋体" w:hAnsi="宋体" w:cs="宋体"/>
                <w:color w:val="auto"/>
                <w:highlight w:val="none"/>
              </w:rPr>
            </w:pPr>
            <w:r>
              <w:rPr>
                <w:rFonts w:hint="eastAsia" w:ascii="宋体" w:hAnsi="宋体" w:cs="宋体"/>
                <w:color w:val="auto"/>
                <w:highlight w:val="none"/>
                <w:lang w:val="en-US" w:eastAsia="zh-CN"/>
              </w:rPr>
              <w:t>3、</w:t>
            </w:r>
            <w:r>
              <w:rPr>
                <w:rFonts w:hint="eastAsia" w:ascii="宋体" w:hAnsi="宋体" w:cs="宋体"/>
                <w:color w:val="auto"/>
                <w:highlight w:val="none"/>
                <w:lang w:val="zh-CN"/>
              </w:rPr>
              <w:t>培训方式</w:t>
            </w:r>
          </w:p>
          <w:p w14:paraId="2FAB8234">
            <w:pPr>
              <w:adjustRightInd w:val="0"/>
              <w:snapToGrid w:val="0"/>
              <w:spacing w:before="36" w:beforeLines="15" w:line="240" w:lineRule="auto"/>
              <w:ind w:left="0" w:leftChars="0" w:firstLine="0" w:firstLineChars="0"/>
              <w:jc w:val="left"/>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以上三项内容每提供一小项内容适用于项目且无缺失的内容得3分，每一项描述混乱不清晰或内容有缺失的扣1分，扣至0分止，未提供的得0 分。</w:t>
            </w:r>
          </w:p>
          <w:p w14:paraId="0DE77548">
            <w:pPr>
              <w:numPr>
                <w:ilvl w:val="0"/>
                <w:numId w:val="0"/>
              </w:numPr>
              <w:adjustRightInd w:val="0"/>
              <w:snapToGrid w:val="0"/>
              <w:spacing w:before="36" w:beforeLines="15" w:line="240" w:lineRule="auto"/>
              <w:ind w:left="0" w:leftChars="0" w:firstLine="0" w:firstLineChars="0"/>
              <w:jc w:val="left"/>
              <w:rPr>
                <w:rFonts w:hint="eastAsia" w:ascii="宋体" w:hAnsi="宋体" w:eastAsia="宋体" w:cs="宋体"/>
                <w:color w:val="auto"/>
                <w:kern w:val="21"/>
                <w:sz w:val="21"/>
                <w:szCs w:val="22"/>
                <w:highlight w:val="none"/>
                <w:lang w:val="en-US" w:eastAsia="zh-CN" w:bidi="ar-SA"/>
              </w:rPr>
            </w:pPr>
            <w:r>
              <w:rPr>
                <w:rFonts w:hint="eastAsia" w:ascii="宋体" w:hAnsi="宋体" w:eastAsia="宋体" w:cs="宋体"/>
                <w:bCs/>
                <w:color w:val="auto"/>
                <w:szCs w:val="21"/>
                <w:highlight w:val="none"/>
                <w:lang w:val="en-US" w:eastAsia="zh-CN"/>
              </w:rPr>
              <w:t>（缺失是指：不符合实际，存在偏离内容、内容前后不一致、文不对题、前后逻辑错误、内容缺失有瑕疵、无具体流程细节描述之处）。</w:t>
            </w:r>
          </w:p>
        </w:tc>
        <w:tc>
          <w:tcPr>
            <w:tcW w:w="770" w:type="dxa"/>
            <w:tcBorders>
              <w:left w:val="single" w:color="auto" w:sz="4" w:space="0"/>
              <w:bottom w:val="single" w:color="auto" w:sz="4" w:space="0"/>
              <w:right w:val="single" w:color="auto" w:sz="4" w:space="0"/>
            </w:tcBorders>
            <w:shd w:val="clear" w:color="auto" w:fill="auto"/>
            <w:noWrap w:val="0"/>
            <w:vAlign w:val="center"/>
          </w:tcPr>
          <w:p w14:paraId="65CF9F2D">
            <w:pPr>
              <w:keepNext w:val="0"/>
              <w:keepLines w:val="0"/>
              <w:pageBreakBefore w:val="0"/>
              <w:kinsoku/>
              <w:wordWrap w:val="0"/>
              <w:overflowPunct/>
              <w:topLinePunct/>
              <w:autoSpaceDE w:val="0"/>
              <w:autoSpaceDN w:val="0"/>
              <w:bidi w:val="0"/>
              <w:spacing w:line="240" w:lineRule="auto"/>
              <w:ind w:firstLine="0" w:firstLineChars="0"/>
              <w:jc w:val="center"/>
              <w:rPr>
                <w:rFonts w:hint="default" w:ascii="宋体" w:hAnsi="宋体" w:eastAsia="宋体" w:cs="宋体"/>
                <w:bCs/>
                <w:color w:val="auto"/>
                <w:kern w:val="21"/>
                <w:sz w:val="21"/>
                <w:szCs w:val="21"/>
                <w:highlight w:val="none"/>
                <w:lang w:val="en-US" w:eastAsia="zh-CN" w:bidi="ar-SA"/>
              </w:rPr>
            </w:pPr>
            <w:r>
              <w:rPr>
                <w:rFonts w:hint="eastAsia" w:hAnsi="宋体" w:eastAsia="宋体" w:cs="宋体"/>
                <w:bCs/>
                <w:color w:val="auto"/>
                <w:kern w:val="21"/>
                <w:sz w:val="21"/>
                <w:szCs w:val="21"/>
                <w:highlight w:val="none"/>
                <w:lang w:val="en-US" w:eastAsia="zh-CN" w:bidi="ar-SA"/>
              </w:rPr>
              <w:t>9</w:t>
            </w:r>
          </w:p>
        </w:tc>
      </w:tr>
      <w:tr w14:paraId="1A8A0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 w:hRule="atLeast"/>
          <w:jc w:val="center"/>
        </w:trPr>
        <w:tc>
          <w:tcPr>
            <w:tcW w:w="701" w:type="dxa"/>
            <w:vMerge w:val="continue"/>
            <w:tcBorders>
              <w:left w:val="single" w:color="auto" w:sz="4" w:space="0"/>
              <w:right w:val="single" w:color="auto" w:sz="4" w:space="0"/>
            </w:tcBorders>
            <w:noWrap w:val="0"/>
            <w:vAlign w:val="center"/>
          </w:tcPr>
          <w:p w14:paraId="4F3B31BD">
            <w:pPr>
              <w:keepNext w:val="0"/>
              <w:keepLines w:val="0"/>
              <w:pageBreakBefore w:val="0"/>
              <w:wordWrap/>
              <w:overflowPunct/>
              <w:topLinePunct w:val="0"/>
              <w:bidi w:val="0"/>
              <w:spacing w:line="360" w:lineRule="exact"/>
              <w:jc w:val="center"/>
              <w:rPr>
                <w:rFonts w:hint="eastAsia" w:ascii="宋体" w:hAnsi="宋体" w:eastAsia="宋体" w:cs="宋体"/>
                <w:color w:val="auto"/>
                <w:szCs w:val="21"/>
                <w:highlight w:val="none"/>
              </w:rPr>
            </w:pPr>
          </w:p>
        </w:tc>
        <w:tc>
          <w:tcPr>
            <w:tcW w:w="1247" w:type="dxa"/>
            <w:vMerge w:val="continue"/>
            <w:tcBorders>
              <w:left w:val="single" w:color="auto" w:sz="4" w:space="0"/>
              <w:right w:val="single" w:color="auto" w:sz="4" w:space="0"/>
            </w:tcBorders>
            <w:noWrap w:val="0"/>
            <w:vAlign w:val="center"/>
          </w:tcPr>
          <w:p w14:paraId="239E2BD8">
            <w:pPr>
              <w:keepNext w:val="0"/>
              <w:keepLines w:val="0"/>
              <w:pageBreakBefore w:val="0"/>
              <w:wordWrap/>
              <w:overflowPunct/>
              <w:topLinePunct w:val="0"/>
              <w:bidi w:val="0"/>
              <w:spacing w:line="360" w:lineRule="exact"/>
              <w:jc w:val="center"/>
              <w:rPr>
                <w:rFonts w:hint="eastAsia" w:ascii="宋体" w:hAnsi="宋体" w:eastAsia="宋体" w:cs="宋体"/>
                <w:color w:val="auto"/>
                <w:szCs w:val="21"/>
                <w:highlight w:val="none"/>
              </w:rPr>
            </w:pPr>
          </w:p>
        </w:tc>
        <w:tc>
          <w:tcPr>
            <w:tcW w:w="1791" w:type="dxa"/>
            <w:tcBorders>
              <w:left w:val="single" w:color="auto" w:sz="4" w:space="0"/>
              <w:bottom w:val="single" w:color="auto" w:sz="4" w:space="0"/>
              <w:right w:val="single" w:color="auto" w:sz="4" w:space="0"/>
            </w:tcBorders>
            <w:shd w:val="clear" w:color="auto" w:fill="auto"/>
            <w:noWrap w:val="0"/>
            <w:vAlign w:val="center"/>
          </w:tcPr>
          <w:p w14:paraId="6D5A6EAD">
            <w:pPr>
              <w:widowControl w:val="0"/>
              <w:spacing w:line="240" w:lineRule="auto"/>
              <w:ind w:left="0" w:leftChars="0" w:firstLine="0" w:firstLineChars="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验收方案</w:t>
            </w:r>
          </w:p>
          <w:p w14:paraId="71EF6389">
            <w:pPr>
              <w:widowControl w:val="0"/>
              <w:spacing w:line="240" w:lineRule="auto"/>
              <w:ind w:left="0" w:leftChars="0"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szCs w:val="21"/>
                <w:highlight w:val="none"/>
                <w:lang w:eastAsia="zh-CN" w:bidi="ar"/>
              </w:rPr>
              <w:t>（</w:t>
            </w:r>
            <w:r>
              <w:rPr>
                <w:rFonts w:hint="eastAsia" w:ascii="宋体" w:hAnsi="宋体" w:eastAsia="宋体" w:cs="宋体"/>
                <w:color w:val="auto"/>
                <w:szCs w:val="21"/>
                <w:highlight w:val="none"/>
                <w:lang w:val="en-US" w:eastAsia="zh-CN" w:bidi="ar"/>
              </w:rPr>
              <w:t>10分</w:t>
            </w:r>
            <w:r>
              <w:rPr>
                <w:rFonts w:hint="eastAsia" w:ascii="宋体" w:hAnsi="宋体" w:eastAsia="宋体" w:cs="宋体"/>
                <w:color w:val="auto"/>
                <w:szCs w:val="21"/>
                <w:highlight w:val="none"/>
                <w:lang w:eastAsia="zh-CN" w:bidi="ar"/>
              </w:rPr>
              <w:t>）</w:t>
            </w:r>
          </w:p>
        </w:tc>
        <w:tc>
          <w:tcPr>
            <w:tcW w:w="492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91CB6CF">
            <w:pPr>
              <w:widowControl w:val="0"/>
              <w:spacing w:line="240" w:lineRule="auto"/>
              <w:ind w:left="0" w:leftChars="0" w:firstLine="0" w:firstLineChars="0"/>
              <w:jc w:val="left"/>
              <w:rPr>
                <w:rFonts w:hint="eastAsia"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zh-CN" w:eastAsia="zh-CN"/>
              </w:rPr>
              <w:t>针对本项目所提供的</w:t>
            </w:r>
            <w:r>
              <w:rPr>
                <w:rFonts w:hint="eastAsia" w:ascii="宋体" w:hAnsi="宋体" w:eastAsia="宋体" w:cs="宋体"/>
                <w:color w:val="auto"/>
                <w:kern w:val="0"/>
                <w:sz w:val="21"/>
                <w:szCs w:val="21"/>
                <w:highlight w:val="none"/>
                <w:lang w:val="en-US" w:eastAsia="zh-CN" w:bidi="ar"/>
              </w:rPr>
              <w:t>验收方案</w:t>
            </w:r>
            <w:r>
              <w:rPr>
                <w:rFonts w:hint="eastAsia" w:ascii="宋体" w:hAnsi="宋体" w:eastAsia="宋体" w:cs="宋体"/>
                <w:bCs/>
                <w:color w:val="auto"/>
                <w:szCs w:val="21"/>
                <w:highlight w:val="none"/>
                <w:lang w:val="en-US" w:eastAsia="zh-CN"/>
              </w:rPr>
              <w:t>进行评价：</w:t>
            </w:r>
          </w:p>
          <w:p w14:paraId="5CA3C242">
            <w:pPr>
              <w:keepNext w:val="0"/>
              <w:keepLines w:val="0"/>
              <w:widowControl/>
              <w:suppressLineNumbers w:val="0"/>
              <w:spacing w:line="240" w:lineRule="auto"/>
              <w:ind w:left="0" w:leftChars="0" w:firstLine="0" w:firstLineChars="0"/>
              <w:jc w:val="left"/>
              <w:rPr>
                <w:color w:val="auto"/>
                <w:highlight w:val="none"/>
              </w:rPr>
            </w:pPr>
            <w:r>
              <w:rPr>
                <w:rFonts w:hint="default" w:ascii="Times New Roman" w:hAnsi="Times New Roman" w:eastAsia="宋体" w:cs="Times New Roman"/>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val="en-US" w:eastAsia="zh-CN" w:bidi="ar"/>
              </w:rPr>
              <w:t>、验收计划</w:t>
            </w:r>
          </w:p>
          <w:p w14:paraId="791C58CF">
            <w:pPr>
              <w:keepNext w:val="0"/>
              <w:keepLines w:val="0"/>
              <w:widowControl/>
              <w:suppressLineNumbers w:val="0"/>
              <w:spacing w:line="240" w:lineRule="auto"/>
              <w:ind w:left="0" w:leftChars="0" w:firstLine="0" w:firstLineChars="0"/>
              <w:jc w:val="left"/>
              <w:rPr>
                <w:rFonts w:hint="eastAsia" w:ascii="宋体" w:hAnsi="宋体" w:eastAsia="宋体" w:cs="宋体"/>
                <w:color w:val="auto"/>
                <w:kern w:val="0"/>
                <w:sz w:val="21"/>
                <w:szCs w:val="21"/>
                <w:highlight w:val="none"/>
                <w:lang w:val="en-US" w:eastAsia="zh-CN" w:bidi="ar"/>
              </w:rPr>
            </w:pPr>
            <w:r>
              <w:rPr>
                <w:rFonts w:hint="default" w:ascii="Times New Roman" w:hAnsi="Times New Roman" w:eastAsia="宋体" w:cs="Times New Roman"/>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、验收流程</w:t>
            </w:r>
          </w:p>
          <w:p w14:paraId="441D9F8C">
            <w:pPr>
              <w:keepNext w:val="0"/>
              <w:keepLines w:val="0"/>
              <w:widowControl/>
              <w:suppressLineNumbers w:val="0"/>
              <w:spacing w:line="240" w:lineRule="auto"/>
              <w:ind w:left="0" w:leftChars="0" w:firstLine="0" w:firstLineChars="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3、验收保证措施</w:t>
            </w:r>
          </w:p>
          <w:p w14:paraId="12AAAF1E">
            <w:pPr>
              <w:keepNext w:val="0"/>
              <w:keepLines w:val="0"/>
              <w:widowControl/>
              <w:suppressLineNumbers w:val="0"/>
              <w:spacing w:line="240" w:lineRule="auto"/>
              <w:ind w:left="0" w:leftChars="0" w:firstLine="0" w:firstLineChars="0"/>
              <w:jc w:val="left"/>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4、验收标准</w:t>
            </w:r>
          </w:p>
          <w:p w14:paraId="5255803E">
            <w:pPr>
              <w:adjustRightInd w:val="0"/>
              <w:snapToGrid w:val="0"/>
              <w:spacing w:before="36" w:beforeLines="15" w:line="240" w:lineRule="auto"/>
              <w:ind w:left="0" w:leftChars="0" w:firstLine="0" w:firstLineChars="0"/>
              <w:jc w:val="left"/>
              <w:rPr>
                <w:rFonts w:hint="eastAsia" w:ascii="宋体" w:hAnsi="宋体" w:eastAsia="宋体" w:cs="宋体"/>
                <w:bCs/>
                <w:color w:val="auto"/>
                <w:kern w:val="21"/>
                <w:sz w:val="21"/>
                <w:szCs w:val="21"/>
                <w:highlight w:val="none"/>
                <w:lang w:val="en-US" w:eastAsia="zh-CN" w:bidi="ar-SA"/>
              </w:rPr>
            </w:pPr>
            <w:r>
              <w:rPr>
                <w:rFonts w:hint="eastAsia" w:ascii="宋体" w:hAnsi="宋体" w:eastAsia="宋体" w:cs="宋体"/>
                <w:bCs/>
                <w:color w:val="auto"/>
                <w:szCs w:val="21"/>
                <w:highlight w:val="none"/>
                <w:lang w:val="en-US" w:eastAsia="zh-CN"/>
              </w:rPr>
              <w:t>以上四项内容每提供一小项内容适用于项目且无缺失的内容得2.5分，每一项描述混乱不清晰或内容有缺失的扣1分，扣至0分止，未提供的得0 分。</w:t>
            </w:r>
          </w:p>
        </w:tc>
        <w:tc>
          <w:tcPr>
            <w:tcW w:w="770" w:type="dxa"/>
            <w:tcBorders>
              <w:left w:val="single" w:color="auto" w:sz="4" w:space="0"/>
              <w:bottom w:val="single" w:color="auto" w:sz="4" w:space="0"/>
              <w:right w:val="single" w:color="auto" w:sz="4" w:space="0"/>
            </w:tcBorders>
            <w:shd w:val="clear" w:color="auto" w:fill="auto"/>
            <w:noWrap w:val="0"/>
            <w:vAlign w:val="center"/>
          </w:tcPr>
          <w:p w14:paraId="58AA7604">
            <w:pPr>
              <w:keepNext w:val="0"/>
              <w:keepLines w:val="0"/>
              <w:pageBreakBefore w:val="0"/>
              <w:kinsoku/>
              <w:wordWrap w:val="0"/>
              <w:overflowPunct/>
              <w:topLinePunct/>
              <w:autoSpaceDE w:val="0"/>
              <w:autoSpaceDN w:val="0"/>
              <w:bidi w:val="0"/>
              <w:spacing w:line="240" w:lineRule="auto"/>
              <w:ind w:firstLine="0" w:firstLineChars="0"/>
              <w:jc w:val="center"/>
              <w:rPr>
                <w:rFonts w:hint="default" w:ascii="宋体" w:hAnsi="宋体" w:eastAsia="宋体" w:cs="宋体"/>
                <w:bCs/>
                <w:color w:val="auto"/>
                <w:kern w:val="21"/>
                <w:sz w:val="21"/>
                <w:szCs w:val="21"/>
                <w:highlight w:val="none"/>
                <w:lang w:val="en-US" w:eastAsia="zh-CN" w:bidi="ar-SA"/>
              </w:rPr>
            </w:pPr>
            <w:r>
              <w:rPr>
                <w:rFonts w:hint="eastAsia" w:hAnsi="宋体" w:eastAsia="宋体" w:cs="宋体"/>
                <w:bCs/>
                <w:color w:val="auto"/>
                <w:kern w:val="21"/>
                <w:sz w:val="21"/>
                <w:szCs w:val="21"/>
                <w:highlight w:val="none"/>
                <w:lang w:val="en-US" w:eastAsia="zh-CN" w:bidi="ar-SA"/>
              </w:rPr>
              <w:t>10</w:t>
            </w:r>
          </w:p>
        </w:tc>
      </w:tr>
      <w:tr w14:paraId="0CA44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701" w:type="dxa"/>
            <w:vMerge w:val="restart"/>
            <w:tcBorders>
              <w:top w:val="single" w:color="auto" w:sz="4" w:space="0"/>
              <w:left w:val="single" w:color="auto" w:sz="4" w:space="0"/>
              <w:right w:val="single" w:color="auto" w:sz="4" w:space="0"/>
            </w:tcBorders>
            <w:noWrap w:val="0"/>
            <w:vAlign w:val="center"/>
          </w:tcPr>
          <w:p w14:paraId="3D8187E4">
            <w:pPr>
              <w:keepNext w:val="0"/>
              <w:keepLines w:val="0"/>
              <w:pageBreakBefore w:val="0"/>
              <w:wordWrap/>
              <w:overflowPunct/>
              <w:topLinePunct w:val="0"/>
              <w:bidi w:val="0"/>
              <w:spacing w:line="360" w:lineRule="exact"/>
              <w:ind w:left="0" w:leftChars="0" w:firstLine="0" w:firstLineChar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2.2.4（3）</w:t>
            </w:r>
          </w:p>
        </w:tc>
        <w:tc>
          <w:tcPr>
            <w:tcW w:w="1247" w:type="dxa"/>
            <w:vMerge w:val="restart"/>
            <w:tcBorders>
              <w:top w:val="single" w:color="auto" w:sz="4" w:space="0"/>
              <w:left w:val="single" w:color="auto" w:sz="4" w:space="0"/>
              <w:right w:val="single" w:color="auto" w:sz="4" w:space="0"/>
            </w:tcBorders>
            <w:noWrap w:val="0"/>
            <w:vAlign w:val="center"/>
          </w:tcPr>
          <w:p w14:paraId="7C18C89E">
            <w:pPr>
              <w:keepNext w:val="0"/>
              <w:keepLines w:val="0"/>
              <w:pageBreakBefore w:val="0"/>
              <w:wordWrap/>
              <w:overflowPunct/>
              <w:topLinePunct w:val="0"/>
              <w:bidi w:val="0"/>
              <w:spacing w:line="360" w:lineRule="exact"/>
              <w:ind w:left="0" w:leftChars="0" w:firstLine="0" w:firstLineChar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商务部分</w:t>
            </w:r>
          </w:p>
          <w:p w14:paraId="1495B99C">
            <w:pPr>
              <w:keepNext w:val="0"/>
              <w:keepLines w:val="0"/>
              <w:pageBreakBefore w:val="0"/>
              <w:wordWrap/>
              <w:overflowPunct/>
              <w:topLinePunct w:val="0"/>
              <w:bidi w:val="0"/>
              <w:spacing w:line="360" w:lineRule="exact"/>
              <w:ind w:left="0" w:leftChars="0" w:firstLine="0" w:firstLineChars="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10</w:t>
            </w:r>
            <w:r>
              <w:rPr>
                <w:rFonts w:hint="eastAsia" w:ascii="宋体" w:hAnsi="宋体" w:eastAsia="宋体" w:cs="宋体"/>
                <w:color w:val="auto"/>
                <w:szCs w:val="21"/>
                <w:highlight w:val="none"/>
              </w:rPr>
              <w:t>分）</w:t>
            </w:r>
          </w:p>
        </w:tc>
        <w:tc>
          <w:tcPr>
            <w:tcW w:w="1791" w:type="dxa"/>
            <w:tcBorders>
              <w:top w:val="single" w:color="auto" w:sz="4" w:space="0"/>
              <w:left w:val="single" w:color="auto" w:sz="4" w:space="0"/>
              <w:bottom w:val="single" w:color="auto" w:sz="4" w:space="0"/>
              <w:right w:val="single" w:color="auto" w:sz="4" w:space="0"/>
            </w:tcBorders>
            <w:noWrap w:val="0"/>
            <w:vAlign w:val="center"/>
          </w:tcPr>
          <w:p w14:paraId="4F2B3BF2">
            <w:pPr>
              <w:keepNext w:val="0"/>
              <w:keepLines w:val="0"/>
              <w:pageBreakBefore w:val="0"/>
              <w:wordWrap/>
              <w:overflowPunct/>
              <w:topLinePunct w:val="0"/>
              <w:bidi w:val="0"/>
              <w:spacing w:line="360" w:lineRule="exact"/>
              <w:ind w:left="0" w:leftChars="0" w:firstLine="0" w:firstLineChars="0"/>
              <w:jc w:val="center"/>
              <w:rPr>
                <w:rFonts w:hint="eastAsia" w:ascii="宋体" w:hAnsi="宋体" w:eastAsia="宋体" w:cs="宋体"/>
                <w:color w:val="auto"/>
                <w:szCs w:val="21"/>
                <w:highlight w:val="none"/>
              </w:rPr>
            </w:pPr>
            <w:r>
              <w:rPr>
                <w:rFonts w:hint="eastAsia" w:ascii="宋体" w:hAnsi="宋体" w:eastAsia="宋体" w:cs="宋体"/>
                <w:bCs/>
                <w:color w:val="auto"/>
                <w:kern w:val="0"/>
                <w:szCs w:val="21"/>
                <w:highlight w:val="none"/>
              </w:rPr>
              <w:t>类似项目业绩</w:t>
            </w:r>
          </w:p>
        </w:tc>
        <w:tc>
          <w:tcPr>
            <w:tcW w:w="4928" w:type="dxa"/>
            <w:tcBorders>
              <w:top w:val="single" w:color="auto" w:sz="4" w:space="0"/>
              <w:left w:val="single" w:color="auto" w:sz="4" w:space="0"/>
              <w:bottom w:val="single" w:color="auto" w:sz="4" w:space="0"/>
              <w:right w:val="single" w:color="auto" w:sz="4" w:space="0"/>
            </w:tcBorders>
            <w:noWrap w:val="0"/>
            <w:vAlign w:val="center"/>
          </w:tcPr>
          <w:p w14:paraId="4716466F">
            <w:pPr>
              <w:keepNext w:val="0"/>
              <w:keepLines w:val="0"/>
              <w:pageBreakBefore w:val="0"/>
              <w:wordWrap/>
              <w:overflowPunct/>
              <w:topLinePunct w:val="0"/>
              <w:bidi w:val="0"/>
              <w:spacing w:line="360" w:lineRule="exact"/>
              <w:ind w:left="0" w:leftChars="0" w:firstLine="0" w:firstLineChars="0"/>
              <w:jc w:val="left"/>
              <w:rPr>
                <w:rFonts w:hint="eastAsia" w:ascii="宋体" w:hAnsi="宋体" w:eastAsia="宋体" w:cs="宋体"/>
                <w:color w:val="auto"/>
                <w:szCs w:val="21"/>
                <w:highlight w:val="none"/>
                <w:lang w:val="zh-CN"/>
              </w:rPr>
            </w:pPr>
            <w:r>
              <w:rPr>
                <w:rFonts w:hint="eastAsia" w:ascii="宋体" w:hAnsi="宋体" w:eastAsia="宋体" w:cs="宋体"/>
                <w:bCs/>
                <w:color w:val="auto"/>
                <w:kern w:val="0"/>
                <w:szCs w:val="21"/>
                <w:highlight w:val="none"/>
              </w:rPr>
              <w:t>近三年（202</w:t>
            </w:r>
            <w:r>
              <w:rPr>
                <w:rFonts w:hint="eastAsia" w:ascii="宋体" w:hAnsi="宋体" w:cs="宋体"/>
                <w:bCs/>
                <w:color w:val="auto"/>
                <w:kern w:val="0"/>
                <w:szCs w:val="21"/>
                <w:highlight w:val="none"/>
                <w:lang w:val="en-US" w:eastAsia="zh-CN"/>
              </w:rPr>
              <w:t>3</w:t>
            </w:r>
            <w:r>
              <w:rPr>
                <w:rFonts w:hint="eastAsia" w:ascii="宋体" w:hAnsi="宋体" w:eastAsia="宋体" w:cs="宋体"/>
                <w:bCs/>
                <w:color w:val="auto"/>
                <w:kern w:val="0"/>
                <w:szCs w:val="21"/>
                <w:highlight w:val="none"/>
              </w:rPr>
              <w:t>年</w:t>
            </w:r>
            <w:r>
              <w:rPr>
                <w:rFonts w:hint="eastAsia" w:ascii="宋体" w:hAnsi="宋体" w:cs="宋体"/>
                <w:bCs/>
                <w:color w:val="auto"/>
                <w:kern w:val="0"/>
                <w:szCs w:val="21"/>
                <w:highlight w:val="none"/>
                <w:lang w:val="en-US" w:eastAsia="zh-CN"/>
              </w:rPr>
              <w:t>1</w:t>
            </w:r>
            <w:r>
              <w:rPr>
                <w:rFonts w:hint="eastAsia" w:ascii="宋体" w:hAnsi="宋体" w:eastAsia="宋体" w:cs="宋体"/>
                <w:bCs/>
                <w:color w:val="auto"/>
                <w:kern w:val="0"/>
                <w:szCs w:val="21"/>
                <w:highlight w:val="none"/>
              </w:rPr>
              <w:t>月</w:t>
            </w:r>
            <w:r>
              <w:rPr>
                <w:rFonts w:hint="eastAsia" w:ascii="宋体" w:hAnsi="宋体" w:cs="宋体"/>
                <w:bCs/>
                <w:color w:val="auto"/>
                <w:kern w:val="0"/>
                <w:szCs w:val="21"/>
                <w:highlight w:val="none"/>
                <w:lang w:val="en-US" w:eastAsia="zh-CN"/>
              </w:rPr>
              <w:t>1</w:t>
            </w:r>
            <w:r>
              <w:rPr>
                <w:rFonts w:hint="eastAsia" w:ascii="宋体" w:hAnsi="宋体" w:eastAsia="宋体" w:cs="宋体"/>
                <w:bCs/>
                <w:color w:val="auto"/>
                <w:kern w:val="0"/>
                <w:szCs w:val="21"/>
                <w:highlight w:val="none"/>
              </w:rPr>
              <w:t>日至</w:t>
            </w:r>
            <w:r>
              <w:rPr>
                <w:rFonts w:hint="eastAsia" w:ascii="宋体" w:hAnsi="宋体" w:cs="宋体"/>
                <w:bCs/>
                <w:color w:val="auto"/>
                <w:kern w:val="0"/>
                <w:szCs w:val="21"/>
                <w:highlight w:val="none"/>
                <w:lang w:val="en-US" w:eastAsia="zh-CN"/>
              </w:rPr>
              <w:t>今</w:t>
            </w:r>
            <w:r>
              <w:rPr>
                <w:rFonts w:hint="eastAsia" w:ascii="宋体" w:hAnsi="宋体" w:eastAsia="宋体" w:cs="宋体"/>
                <w:bCs/>
                <w:color w:val="auto"/>
                <w:kern w:val="0"/>
                <w:szCs w:val="21"/>
                <w:highlight w:val="none"/>
              </w:rPr>
              <w:t>）</w:t>
            </w:r>
            <w:r>
              <w:rPr>
                <w:rFonts w:hint="eastAsia" w:ascii="宋体" w:hAnsi="宋体" w:eastAsia="宋体" w:cs="宋体"/>
                <w:color w:val="auto"/>
                <w:szCs w:val="21"/>
                <w:highlight w:val="none"/>
                <w:lang w:val="zh-CN"/>
              </w:rPr>
              <w:t>完成过的</w:t>
            </w:r>
            <w:r>
              <w:rPr>
                <w:rFonts w:hint="eastAsia" w:ascii="宋体" w:hAnsi="宋体" w:cs="宋体"/>
                <w:color w:val="auto"/>
                <w:szCs w:val="21"/>
                <w:highlight w:val="none"/>
                <w:lang w:val="en-US" w:eastAsia="zh-CN"/>
              </w:rPr>
              <w:t>类似</w:t>
            </w:r>
            <w:r>
              <w:rPr>
                <w:rFonts w:hint="eastAsia" w:ascii="宋体" w:hAnsi="宋体" w:eastAsia="宋体" w:cs="宋体"/>
                <w:color w:val="auto"/>
                <w:szCs w:val="21"/>
                <w:highlight w:val="none"/>
                <w:lang w:val="zh-CN"/>
              </w:rPr>
              <w:t>企业业绩，每项业绩得</w:t>
            </w: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lang w:val="zh-CN"/>
              </w:rPr>
              <w:t>分，满分</w:t>
            </w:r>
            <w:r>
              <w:rPr>
                <w:rFonts w:hint="eastAsia" w:ascii="宋体" w:hAnsi="宋体" w:eastAsia="宋体" w:cs="宋体"/>
                <w:color w:val="auto"/>
                <w:szCs w:val="21"/>
                <w:highlight w:val="none"/>
                <w:lang w:val="en-US" w:eastAsia="zh-CN"/>
              </w:rPr>
              <w:t>6</w:t>
            </w:r>
            <w:r>
              <w:rPr>
                <w:rFonts w:hint="eastAsia" w:ascii="宋体" w:hAnsi="宋体" w:eastAsia="宋体" w:cs="宋体"/>
                <w:color w:val="auto"/>
                <w:szCs w:val="21"/>
                <w:highlight w:val="none"/>
                <w:lang w:val="zh-CN"/>
              </w:rPr>
              <w:t>分。提供的</w:t>
            </w:r>
            <w:r>
              <w:rPr>
                <w:rFonts w:hint="eastAsia" w:ascii="宋体" w:hAnsi="宋体" w:cs="宋体"/>
                <w:color w:val="auto"/>
                <w:szCs w:val="21"/>
                <w:highlight w:val="none"/>
                <w:lang w:val="en-US" w:eastAsia="zh-CN"/>
              </w:rPr>
              <w:t>中标（</w:t>
            </w:r>
            <w:r>
              <w:rPr>
                <w:rFonts w:hint="eastAsia" w:hAnsi="宋体" w:cs="宋体"/>
                <w:color w:val="auto"/>
                <w:szCs w:val="21"/>
                <w:highlight w:val="none"/>
                <w:lang w:val="zh-CN"/>
              </w:rPr>
              <w:t>中标</w:t>
            </w:r>
            <w:r>
              <w:rPr>
                <w:rFonts w:hint="eastAsia" w:ascii="宋体" w:hAnsi="宋体" w:cs="宋体"/>
                <w:color w:val="auto"/>
                <w:szCs w:val="21"/>
                <w:highlight w:val="none"/>
                <w:lang w:val="zh-CN"/>
              </w:rPr>
              <w:t>）</w:t>
            </w:r>
            <w:r>
              <w:rPr>
                <w:rFonts w:hint="eastAsia" w:ascii="宋体" w:hAnsi="宋体" w:eastAsia="宋体" w:cs="宋体"/>
                <w:color w:val="auto"/>
                <w:szCs w:val="21"/>
                <w:highlight w:val="none"/>
                <w:lang w:val="zh-CN"/>
              </w:rPr>
              <w:t>通知书或合同协议书相关证明材料，标书内附复印件。</w:t>
            </w:r>
          </w:p>
          <w:p w14:paraId="45CE8B0D">
            <w:pPr>
              <w:keepNext w:val="0"/>
              <w:keepLines w:val="0"/>
              <w:pageBreakBefore w:val="0"/>
              <w:wordWrap/>
              <w:overflowPunct/>
              <w:topLinePunct w:val="0"/>
              <w:bidi w:val="0"/>
              <w:spacing w:line="360" w:lineRule="exact"/>
              <w:ind w:left="0" w:leftChars="0" w:firstLine="0" w:firstLineChars="0"/>
              <w:jc w:val="left"/>
              <w:rPr>
                <w:rFonts w:hint="eastAsia" w:ascii="宋体" w:hAnsi="宋体" w:eastAsia="宋体" w:cs="宋体"/>
                <w:color w:val="auto"/>
                <w:szCs w:val="21"/>
                <w:highlight w:val="none"/>
                <w:lang w:val="zh-CN" w:eastAsia="zh-CN"/>
              </w:rPr>
            </w:pPr>
            <w:r>
              <w:rPr>
                <w:rFonts w:hint="eastAsia" w:ascii="宋体" w:hAnsi="宋体" w:eastAsia="宋体" w:cs="宋体"/>
                <w:color w:val="auto"/>
                <w:szCs w:val="21"/>
                <w:highlight w:val="none"/>
                <w:lang w:val="en-US" w:eastAsia="zh-CN"/>
              </w:rPr>
              <w:t>类似项目业绩指：</w:t>
            </w:r>
            <w:r>
              <w:rPr>
                <w:rFonts w:hint="eastAsia" w:ascii="宋体" w:hAnsi="宋体" w:eastAsia="宋体" w:cs="宋体"/>
                <w:color w:val="auto"/>
                <w:szCs w:val="21"/>
                <w:highlight w:val="none"/>
                <w:lang w:val="zh-CN"/>
              </w:rPr>
              <w:t>类似生物质颗粒或燃料供应业绩</w:t>
            </w:r>
            <w:r>
              <w:rPr>
                <w:rFonts w:hint="eastAsia" w:ascii="宋体" w:hAnsi="宋体" w:eastAsia="宋体" w:cs="宋体"/>
                <w:color w:val="auto"/>
                <w:szCs w:val="21"/>
                <w:highlight w:val="none"/>
                <w:lang w:val="zh-CN" w:eastAsia="zh-CN"/>
              </w:rPr>
              <w:t>。</w:t>
            </w:r>
          </w:p>
        </w:tc>
        <w:tc>
          <w:tcPr>
            <w:tcW w:w="770" w:type="dxa"/>
            <w:tcBorders>
              <w:top w:val="single" w:color="auto" w:sz="4" w:space="0"/>
              <w:left w:val="single" w:color="auto" w:sz="4" w:space="0"/>
              <w:bottom w:val="single" w:color="auto" w:sz="4" w:space="0"/>
              <w:right w:val="single" w:color="auto" w:sz="4" w:space="0"/>
            </w:tcBorders>
            <w:noWrap w:val="0"/>
            <w:vAlign w:val="center"/>
          </w:tcPr>
          <w:p w14:paraId="41553DED">
            <w:pPr>
              <w:keepNext w:val="0"/>
              <w:keepLines w:val="0"/>
              <w:pageBreakBefore w:val="0"/>
              <w:wordWrap/>
              <w:overflowPunct/>
              <w:topLinePunct w:val="0"/>
              <w:bidi w:val="0"/>
              <w:spacing w:line="360" w:lineRule="exact"/>
              <w:ind w:left="0" w:leftChars="0" w:firstLine="0" w:firstLineChars="0"/>
              <w:jc w:val="center"/>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val="en-US" w:eastAsia="zh-CN"/>
              </w:rPr>
              <w:t>6</w:t>
            </w:r>
          </w:p>
        </w:tc>
      </w:tr>
      <w:tr w14:paraId="3D7D1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jc w:val="center"/>
        </w:trPr>
        <w:tc>
          <w:tcPr>
            <w:tcW w:w="701" w:type="dxa"/>
            <w:vMerge w:val="continue"/>
            <w:tcBorders>
              <w:left w:val="single" w:color="auto" w:sz="4" w:space="0"/>
              <w:right w:val="single" w:color="auto" w:sz="4" w:space="0"/>
            </w:tcBorders>
            <w:noWrap w:val="0"/>
            <w:vAlign w:val="center"/>
          </w:tcPr>
          <w:p w14:paraId="2162F07E">
            <w:pPr>
              <w:keepNext w:val="0"/>
              <w:keepLines w:val="0"/>
              <w:pageBreakBefore w:val="0"/>
              <w:wordWrap/>
              <w:overflowPunct/>
              <w:topLinePunct w:val="0"/>
              <w:bidi w:val="0"/>
              <w:spacing w:line="360" w:lineRule="exact"/>
              <w:ind w:left="0" w:leftChars="0" w:firstLine="0" w:firstLineChars="0"/>
              <w:jc w:val="center"/>
              <w:rPr>
                <w:rFonts w:hint="eastAsia" w:ascii="宋体" w:hAnsi="宋体" w:eastAsia="宋体" w:cs="宋体"/>
                <w:color w:val="auto"/>
                <w:szCs w:val="21"/>
                <w:highlight w:val="none"/>
              </w:rPr>
            </w:pPr>
          </w:p>
        </w:tc>
        <w:tc>
          <w:tcPr>
            <w:tcW w:w="1247" w:type="dxa"/>
            <w:vMerge w:val="continue"/>
            <w:tcBorders>
              <w:left w:val="single" w:color="auto" w:sz="4" w:space="0"/>
              <w:right w:val="single" w:color="auto" w:sz="4" w:space="0"/>
            </w:tcBorders>
            <w:noWrap w:val="0"/>
            <w:vAlign w:val="center"/>
          </w:tcPr>
          <w:p w14:paraId="537C6126">
            <w:pPr>
              <w:keepNext w:val="0"/>
              <w:keepLines w:val="0"/>
              <w:pageBreakBefore w:val="0"/>
              <w:wordWrap/>
              <w:overflowPunct/>
              <w:topLinePunct w:val="0"/>
              <w:bidi w:val="0"/>
              <w:spacing w:line="360" w:lineRule="exact"/>
              <w:ind w:left="0" w:leftChars="0" w:firstLine="0" w:firstLineChars="0"/>
              <w:jc w:val="center"/>
              <w:rPr>
                <w:rFonts w:hint="eastAsia" w:ascii="宋体" w:hAnsi="宋体" w:eastAsia="宋体" w:cs="宋体"/>
                <w:color w:val="auto"/>
                <w:szCs w:val="21"/>
                <w:highlight w:val="none"/>
              </w:rPr>
            </w:pPr>
          </w:p>
        </w:tc>
        <w:tc>
          <w:tcPr>
            <w:tcW w:w="1791" w:type="dxa"/>
            <w:tcBorders>
              <w:top w:val="single" w:color="auto" w:sz="4" w:space="0"/>
              <w:left w:val="single" w:color="auto" w:sz="4" w:space="0"/>
              <w:bottom w:val="single" w:color="auto" w:sz="4" w:space="0"/>
              <w:right w:val="single" w:color="auto" w:sz="4" w:space="0"/>
            </w:tcBorders>
            <w:noWrap w:val="0"/>
            <w:vAlign w:val="center"/>
          </w:tcPr>
          <w:p w14:paraId="5628D39A">
            <w:pPr>
              <w:keepNext w:val="0"/>
              <w:keepLines w:val="0"/>
              <w:pageBreakBefore w:val="0"/>
              <w:wordWrap/>
              <w:overflowPunct/>
              <w:topLinePunct w:val="0"/>
              <w:bidi w:val="0"/>
              <w:spacing w:line="360" w:lineRule="exact"/>
              <w:ind w:left="0" w:leftChars="0" w:firstLine="0" w:firstLineChars="0"/>
              <w:jc w:val="center"/>
              <w:rPr>
                <w:rFonts w:hint="default" w:ascii="宋体" w:hAnsi="宋体" w:eastAsia="宋体" w:cs="宋体"/>
                <w:bCs/>
                <w:color w:val="auto"/>
                <w:kern w:val="0"/>
                <w:szCs w:val="21"/>
                <w:highlight w:val="none"/>
                <w:lang w:val="en-US" w:eastAsia="zh-CN"/>
              </w:rPr>
            </w:pPr>
            <w:r>
              <w:rPr>
                <w:rFonts w:hint="eastAsia" w:ascii="宋体" w:hAnsi="宋体" w:eastAsia="宋体" w:cs="宋体"/>
                <w:bCs/>
                <w:color w:val="auto"/>
                <w:kern w:val="0"/>
                <w:szCs w:val="21"/>
                <w:highlight w:val="none"/>
                <w:lang w:val="en-US" w:eastAsia="zh-CN"/>
              </w:rPr>
              <w:t>优惠条件</w:t>
            </w:r>
          </w:p>
        </w:tc>
        <w:tc>
          <w:tcPr>
            <w:tcW w:w="492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9077C76">
            <w:pPr>
              <w:keepNext w:val="0"/>
              <w:keepLines w:val="0"/>
              <w:pageBreakBefore w:val="0"/>
              <w:widowControl/>
              <w:wordWrap/>
              <w:overflowPunct/>
              <w:topLinePunct w:val="0"/>
              <w:bidi w:val="0"/>
              <w:spacing w:line="360" w:lineRule="exact"/>
              <w:ind w:left="0" w:leftChars="0" w:firstLine="0" w:firstLineChars="0"/>
              <w:jc w:val="left"/>
              <w:rPr>
                <w:rFonts w:hint="eastAsia" w:ascii="宋体" w:hAnsi="宋体" w:eastAsia="宋体" w:cs="宋体"/>
                <w:color w:val="auto"/>
                <w:kern w:val="21"/>
                <w:sz w:val="21"/>
                <w:szCs w:val="21"/>
                <w:highlight w:val="none"/>
                <w:lang w:val="en-US" w:eastAsia="zh-CN" w:bidi="ar-SA"/>
              </w:rPr>
            </w:pPr>
            <w:r>
              <w:rPr>
                <w:rFonts w:hint="eastAsia" w:ascii="宋体" w:hAnsi="宋体" w:cs="宋体"/>
                <w:color w:val="auto"/>
                <w:szCs w:val="21"/>
                <w:highlight w:val="none"/>
              </w:rPr>
              <w:t>对</w:t>
            </w:r>
            <w:r>
              <w:rPr>
                <w:rFonts w:hint="eastAsia" w:ascii="宋体" w:hAnsi="宋体" w:cs="宋体"/>
                <w:color w:val="auto"/>
                <w:szCs w:val="21"/>
                <w:highlight w:val="none"/>
                <w:lang w:val="en-US" w:eastAsia="zh-CN"/>
              </w:rPr>
              <w:t>投标人</w:t>
            </w:r>
            <w:r>
              <w:rPr>
                <w:rFonts w:hint="eastAsia" w:ascii="宋体" w:hAnsi="宋体" w:cs="宋体"/>
                <w:color w:val="auto"/>
                <w:szCs w:val="21"/>
                <w:highlight w:val="none"/>
              </w:rPr>
              <w:t>提出的</w:t>
            </w:r>
            <w:r>
              <w:rPr>
                <w:rFonts w:hint="eastAsia" w:ascii="宋体" w:hAnsi="宋体" w:cs="宋体"/>
                <w:color w:val="auto"/>
                <w:szCs w:val="21"/>
                <w:highlight w:val="none"/>
                <w:lang w:eastAsia="zh-CN"/>
              </w:rPr>
              <w:t>采购人</w:t>
            </w:r>
            <w:r>
              <w:rPr>
                <w:rFonts w:hint="eastAsia" w:ascii="宋体" w:hAnsi="宋体" w:cs="宋体"/>
                <w:color w:val="auto"/>
                <w:szCs w:val="21"/>
                <w:highlight w:val="none"/>
              </w:rPr>
              <w:t>可以接受的合理优惠条件</w:t>
            </w:r>
            <w:r>
              <w:rPr>
                <w:rFonts w:hint="eastAsia" w:ascii="宋体" w:hAnsi="宋体" w:cs="宋体"/>
                <w:color w:val="auto"/>
                <w:szCs w:val="21"/>
                <w:highlight w:val="none"/>
                <w:lang w:val="en-US" w:eastAsia="zh-CN"/>
              </w:rPr>
              <w:t>每有一项实质性内容得1分</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最多</w:t>
            </w:r>
            <w:r>
              <w:rPr>
                <w:rFonts w:hint="eastAsia" w:ascii="宋体" w:hAnsi="宋体" w:cs="宋体"/>
                <w:color w:val="auto"/>
                <w:szCs w:val="21"/>
                <w:highlight w:val="none"/>
              </w:rPr>
              <w:t>得</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分。</w:t>
            </w:r>
          </w:p>
        </w:tc>
        <w:tc>
          <w:tcPr>
            <w:tcW w:w="770" w:type="dxa"/>
            <w:tcBorders>
              <w:top w:val="single" w:color="auto" w:sz="4" w:space="0"/>
              <w:left w:val="single" w:color="auto" w:sz="4" w:space="0"/>
              <w:bottom w:val="single" w:color="auto" w:sz="4" w:space="0"/>
              <w:right w:val="single" w:color="auto" w:sz="4" w:space="0"/>
            </w:tcBorders>
            <w:noWrap w:val="0"/>
            <w:vAlign w:val="center"/>
          </w:tcPr>
          <w:p w14:paraId="56627219">
            <w:pPr>
              <w:keepNext w:val="0"/>
              <w:keepLines w:val="0"/>
              <w:pageBreakBefore w:val="0"/>
              <w:wordWrap/>
              <w:overflowPunct/>
              <w:topLinePunct w:val="0"/>
              <w:bidi w:val="0"/>
              <w:spacing w:line="360" w:lineRule="exact"/>
              <w:ind w:left="0" w:leftChars="0" w:firstLine="0" w:firstLineChars="0"/>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w:t>
            </w:r>
          </w:p>
        </w:tc>
      </w:tr>
      <w:tr w14:paraId="6AD97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701" w:type="dxa"/>
            <w:vMerge w:val="continue"/>
            <w:tcBorders>
              <w:left w:val="single" w:color="auto" w:sz="4" w:space="0"/>
              <w:right w:val="single" w:color="auto" w:sz="4" w:space="0"/>
            </w:tcBorders>
            <w:noWrap w:val="0"/>
            <w:vAlign w:val="center"/>
          </w:tcPr>
          <w:p w14:paraId="2F73CFB1">
            <w:pPr>
              <w:keepNext w:val="0"/>
              <w:keepLines w:val="0"/>
              <w:pageBreakBefore w:val="0"/>
              <w:wordWrap/>
              <w:overflowPunct/>
              <w:topLinePunct w:val="0"/>
              <w:bidi w:val="0"/>
              <w:spacing w:line="360" w:lineRule="exact"/>
              <w:ind w:left="0" w:leftChars="0" w:firstLine="0" w:firstLineChars="0"/>
              <w:jc w:val="center"/>
              <w:rPr>
                <w:rFonts w:hint="eastAsia" w:ascii="宋体" w:hAnsi="宋体" w:eastAsia="宋体" w:cs="宋体"/>
                <w:color w:val="auto"/>
                <w:szCs w:val="21"/>
                <w:highlight w:val="none"/>
              </w:rPr>
            </w:pPr>
          </w:p>
        </w:tc>
        <w:tc>
          <w:tcPr>
            <w:tcW w:w="1247" w:type="dxa"/>
            <w:vMerge w:val="continue"/>
            <w:tcBorders>
              <w:left w:val="single" w:color="auto" w:sz="4" w:space="0"/>
              <w:right w:val="single" w:color="auto" w:sz="4" w:space="0"/>
            </w:tcBorders>
            <w:noWrap w:val="0"/>
            <w:vAlign w:val="center"/>
          </w:tcPr>
          <w:p w14:paraId="078126FB">
            <w:pPr>
              <w:keepNext w:val="0"/>
              <w:keepLines w:val="0"/>
              <w:pageBreakBefore w:val="0"/>
              <w:wordWrap/>
              <w:overflowPunct/>
              <w:topLinePunct w:val="0"/>
              <w:bidi w:val="0"/>
              <w:spacing w:line="360" w:lineRule="exact"/>
              <w:ind w:left="0" w:leftChars="0" w:firstLine="0" w:firstLineChars="0"/>
              <w:jc w:val="center"/>
              <w:rPr>
                <w:rFonts w:hint="eastAsia" w:ascii="宋体" w:hAnsi="宋体" w:eastAsia="宋体" w:cs="宋体"/>
                <w:color w:val="auto"/>
                <w:szCs w:val="21"/>
                <w:highlight w:val="none"/>
              </w:rPr>
            </w:pPr>
          </w:p>
        </w:tc>
        <w:tc>
          <w:tcPr>
            <w:tcW w:w="1791" w:type="dxa"/>
            <w:tcBorders>
              <w:top w:val="single" w:color="auto" w:sz="4" w:space="0"/>
              <w:left w:val="single" w:color="auto" w:sz="4" w:space="0"/>
              <w:bottom w:val="single" w:color="auto" w:sz="4" w:space="0"/>
              <w:right w:val="single" w:color="auto" w:sz="4" w:space="0"/>
            </w:tcBorders>
            <w:noWrap w:val="0"/>
            <w:vAlign w:val="center"/>
          </w:tcPr>
          <w:p w14:paraId="73765F57">
            <w:pPr>
              <w:keepNext w:val="0"/>
              <w:keepLines w:val="0"/>
              <w:pageBreakBefore w:val="0"/>
              <w:wordWrap/>
              <w:overflowPunct/>
              <w:topLinePunct w:val="0"/>
              <w:bidi w:val="0"/>
              <w:spacing w:line="360" w:lineRule="exact"/>
              <w:ind w:left="0" w:leftChars="0" w:firstLine="0" w:firstLineChars="0"/>
              <w:jc w:val="center"/>
              <w:rPr>
                <w:rFonts w:hint="default" w:ascii="宋体" w:hAnsi="宋体" w:eastAsia="宋体" w:cs="宋体"/>
                <w:bCs/>
                <w:color w:val="auto"/>
                <w:kern w:val="0"/>
                <w:szCs w:val="21"/>
                <w:highlight w:val="none"/>
                <w:lang w:val="en-US" w:eastAsia="zh-CN"/>
              </w:rPr>
            </w:pPr>
            <w:r>
              <w:rPr>
                <w:rFonts w:hint="eastAsia" w:ascii="宋体" w:hAnsi="宋体" w:eastAsia="宋体" w:cs="宋体"/>
                <w:bCs/>
                <w:color w:val="auto"/>
                <w:kern w:val="0"/>
                <w:szCs w:val="21"/>
                <w:highlight w:val="none"/>
                <w:lang w:val="en-US" w:eastAsia="zh-CN"/>
              </w:rPr>
              <w:t>服务承诺</w:t>
            </w:r>
          </w:p>
        </w:tc>
        <w:tc>
          <w:tcPr>
            <w:tcW w:w="492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0BFDC40">
            <w:pPr>
              <w:keepNext w:val="0"/>
              <w:keepLines w:val="0"/>
              <w:pageBreakBefore w:val="0"/>
              <w:widowControl/>
              <w:wordWrap/>
              <w:overflowPunct/>
              <w:topLinePunct w:val="0"/>
              <w:bidi w:val="0"/>
              <w:spacing w:line="360" w:lineRule="exact"/>
              <w:ind w:left="0" w:leftChars="0" w:firstLine="0" w:firstLineChars="0"/>
              <w:jc w:val="left"/>
              <w:rPr>
                <w:rFonts w:hint="eastAsia" w:ascii="宋体" w:hAnsi="宋体" w:eastAsia="宋体" w:cs="宋体"/>
                <w:color w:val="auto"/>
                <w:kern w:val="21"/>
                <w:sz w:val="21"/>
                <w:szCs w:val="21"/>
                <w:highlight w:val="none"/>
                <w:lang w:val="en-US" w:eastAsia="zh-CN" w:bidi="ar-SA"/>
              </w:rPr>
            </w:pPr>
            <w:r>
              <w:rPr>
                <w:rFonts w:hint="eastAsia" w:ascii="宋体" w:hAnsi="宋体" w:eastAsia="宋体" w:cs="宋体"/>
                <w:color w:val="auto"/>
                <w:szCs w:val="21"/>
                <w:highlight w:val="none"/>
              </w:rPr>
              <w:t>对</w:t>
            </w:r>
            <w:r>
              <w:rPr>
                <w:rFonts w:hint="eastAsia" w:ascii="宋体" w:hAnsi="宋体" w:cs="宋体"/>
                <w:color w:val="auto"/>
                <w:szCs w:val="21"/>
                <w:highlight w:val="none"/>
                <w:lang w:val="en-US" w:eastAsia="zh-CN"/>
              </w:rPr>
              <w:t>投标人</w:t>
            </w:r>
            <w:r>
              <w:rPr>
                <w:rFonts w:hint="eastAsia" w:ascii="宋体" w:hAnsi="宋体" w:eastAsia="宋体" w:cs="宋体"/>
                <w:color w:val="auto"/>
                <w:szCs w:val="21"/>
                <w:highlight w:val="none"/>
              </w:rPr>
              <w:t>提出的</w:t>
            </w:r>
            <w:r>
              <w:rPr>
                <w:rFonts w:hint="eastAsia" w:ascii="宋体" w:hAnsi="宋体" w:cs="宋体"/>
                <w:color w:val="auto"/>
                <w:szCs w:val="21"/>
                <w:highlight w:val="none"/>
                <w:lang w:eastAsia="zh-CN"/>
              </w:rPr>
              <w:t>采购人</w:t>
            </w:r>
            <w:r>
              <w:rPr>
                <w:rFonts w:hint="eastAsia" w:ascii="宋体" w:hAnsi="宋体" w:eastAsia="宋体" w:cs="宋体"/>
                <w:color w:val="auto"/>
                <w:szCs w:val="21"/>
                <w:highlight w:val="none"/>
              </w:rPr>
              <w:t>可以接受的合理</w:t>
            </w:r>
            <w:r>
              <w:rPr>
                <w:rFonts w:hint="eastAsia" w:ascii="宋体" w:hAnsi="宋体" w:eastAsia="宋体" w:cs="宋体"/>
                <w:color w:val="auto"/>
                <w:szCs w:val="21"/>
                <w:highlight w:val="none"/>
                <w:lang w:val="en-US" w:eastAsia="zh-CN"/>
              </w:rPr>
              <w:t>服务承诺</w:t>
            </w:r>
            <w:r>
              <w:rPr>
                <w:rFonts w:hint="eastAsia" w:ascii="宋体" w:hAnsi="宋体" w:eastAsia="宋体" w:cs="宋体"/>
                <w:color w:val="auto"/>
                <w:szCs w:val="21"/>
                <w:highlight w:val="none"/>
              </w:rPr>
              <w:t>每有一项得1分，最多得</w:t>
            </w:r>
            <w:r>
              <w:rPr>
                <w:rFonts w:hint="eastAsia" w:ascii="宋体" w:hAnsi="宋体" w:cs="宋体"/>
                <w:color w:val="auto"/>
                <w:szCs w:val="21"/>
                <w:highlight w:val="none"/>
                <w:lang w:val="en-US" w:eastAsia="zh-CN"/>
              </w:rPr>
              <w:t>2</w:t>
            </w:r>
            <w:r>
              <w:rPr>
                <w:rFonts w:hint="eastAsia" w:ascii="宋体" w:hAnsi="宋体" w:eastAsia="宋体" w:cs="宋体"/>
                <w:color w:val="auto"/>
                <w:szCs w:val="21"/>
                <w:highlight w:val="none"/>
              </w:rPr>
              <w:t>分。</w:t>
            </w:r>
          </w:p>
        </w:tc>
        <w:tc>
          <w:tcPr>
            <w:tcW w:w="770" w:type="dxa"/>
            <w:tcBorders>
              <w:top w:val="single" w:color="auto" w:sz="4" w:space="0"/>
              <w:left w:val="single" w:color="auto" w:sz="4" w:space="0"/>
              <w:bottom w:val="single" w:color="auto" w:sz="4" w:space="0"/>
              <w:right w:val="single" w:color="auto" w:sz="4" w:space="0"/>
            </w:tcBorders>
            <w:noWrap w:val="0"/>
            <w:vAlign w:val="center"/>
          </w:tcPr>
          <w:p w14:paraId="3B3DB1E3">
            <w:pPr>
              <w:keepNext w:val="0"/>
              <w:keepLines w:val="0"/>
              <w:pageBreakBefore w:val="0"/>
              <w:wordWrap/>
              <w:overflowPunct/>
              <w:topLinePunct w:val="0"/>
              <w:bidi w:val="0"/>
              <w:spacing w:line="360" w:lineRule="exact"/>
              <w:ind w:left="0" w:leftChars="0" w:firstLine="0" w:firstLineChars="0"/>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w:t>
            </w:r>
          </w:p>
        </w:tc>
      </w:tr>
    </w:tbl>
    <w:p w14:paraId="1A950183">
      <w:pPr>
        <w:autoSpaceDE w:val="0"/>
        <w:autoSpaceDN w:val="0"/>
        <w:adjustRightInd w:val="0"/>
        <w:ind w:firstLine="0" w:firstLineChars="0"/>
        <w:jc w:val="center"/>
        <w:rPr>
          <w:rFonts w:hint="eastAsia" w:hAnsi="宋体" w:cs="宋体"/>
          <w:b/>
          <w:color w:val="auto"/>
          <w:sz w:val="24"/>
          <w:szCs w:val="24"/>
          <w:highlight w:val="none"/>
          <w:lang w:val="zh-CN"/>
        </w:rPr>
      </w:pPr>
    </w:p>
    <w:p w14:paraId="7DD35E7A">
      <w:pPr>
        <w:autoSpaceDE w:val="0"/>
        <w:autoSpaceDN w:val="0"/>
        <w:adjustRightInd w:val="0"/>
        <w:ind w:firstLine="0" w:firstLineChars="0"/>
        <w:jc w:val="both"/>
        <w:rPr>
          <w:rFonts w:hint="eastAsia" w:hAnsi="宋体" w:cs="宋体"/>
          <w:b/>
          <w:color w:val="auto"/>
          <w:sz w:val="24"/>
          <w:szCs w:val="24"/>
          <w:highlight w:val="none"/>
          <w:lang w:val="zh-CN"/>
        </w:rPr>
      </w:pPr>
      <w:r>
        <w:rPr>
          <w:rFonts w:hint="eastAsia" w:hAnsi="宋体" w:cs="宋体"/>
          <w:b/>
          <w:color w:val="auto"/>
          <w:sz w:val="24"/>
          <w:szCs w:val="24"/>
          <w:highlight w:val="none"/>
          <w:lang w:val="zh-CN"/>
        </w:rPr>
        <w:t>评标方法说明</w:t>
      </w:r>
      <w:bookmarkStart w:id="167" w:name="_GoBack"/>
      <w:bookmarkEnd w:id="167"/>
    </w:p>
    <w:p w14:paraId="3FE6C3FE">
      <w:pPr>
        <w:autoSpaceDE w:val="0"/>
        <w:autoSpaceDN w:val="0"/>
        <w:ind w:firstLine="420"/>
        <w:rPr>
          <w:rFonts w:hAnsi="宋体" w:cs="宋体"/>
          <w:color w:val="auto"/>
          <w:highlight w:val="none"/>
        </w:rPr>
      </w:pPr>
      <w:r>
        <w:rPr>
          <w:rFonts w:hint="eastAsia" w:hAnsi="宋体" w:cs="宋体"/>
          <w:color w:val="auto"/>
          <w:highlight w:val="none"/>
        </w:rPr>
        <w:t>1.评委会：依法组建评标委员会，评委会成员人数为5人。</w:t>
      </w:r>
    </w:p>
    <w:p w14:paraId="677EEDC8">
      <w:pPr>
        <w:autoSpaceDE w:val="0"/>
        <w:autoSpaceDN w:val="0"/>
        <w:ind w:firstLine="420"/>
        <w:rPr>
          <w:rFonts w:hAnsi="宋体" w:cs="宋体"/>
          <w:color w:val="auto"/>
          <w:highlight w:val="none"/>
        </w:rPr>
      </w:pPr>
      <w:r>
        <w:rPr>
          <w:rFonts w:hint="eastAsia" w:hAnsi="宋体" w:cs="宋体"/>
          <w:color w:val="auto"/>
          <w:highlight w:val="none"/>
        </w:rPr>
        <w:t>2.评审原则：公平、公正、科学、择优的原则。</w:t>
      </w:r>
    </w:p>
    <w:p w14:paraId="794C79CA">
      <w:pPr>
        <w:autoSpaceDE w:val="0"/>
        <w:autoSpaceDN w:val="0"/>
        <w:ind w:firstLine="420"/>
        <w:rPr>
          <w:rFonts w:hAnsi="宋体" w:cs="宋体"/>
          <w:color w:val="auto"/>
          <w:highlight w:val="none"/>
        </w:rPr>
      </w:pPr>
      <w:r>
        <w:rPr>
          <w:rFonts w:hint="eastAsia" w:hAnsi="宋体" w:cs="宋体"/>
          <w:color w:val="auto"/>
          <w:highlight w:val="none"/>
        </w:rPr>
        <w:t>3.评标方法：综合评分法。</w:t>
      </w:r>
    </w:p>
    <w:p w14:paraId="3E22C675">
      <w:pPr>
        <w:autoSpaceDE w:val="0"/>
        <w:autoSpaceDN w:val="0"/>
        <w:ind w:firstLine="420"/>
        <w:rPr>
          <w:rFonts w:hAnsi="宋体" w:cs="宋体"/>
          <w:color w:val="auto"/>
          <w:highlight w:val="none"/>
        </w:rPr>
      </w:pPr>
      <w:r>
        <w:rPr>
          <w:rFonts w:hint="eastAsia" w:hAnsi="宋体" w:cs="宋体"/>
          <w:color w:val="auto"/>
          <w:highlight w:val="none"/>
        </w:rPr>
        <w:t>综合评分法，是指投标文件满足招标文件全部实质性要求，且按照评审因素的量化指标评审得分最高的</w:t>
      </w:r>
      <w:r>
        <w:rPr>
          <w:rFonts w:hint="eastAsia" w:hAnsi="宋体" w:cs="宋体"/>
          <w:color w:val="auto"/>
          <w:highlight w:val="none"/>
          <w:lang w:eastAsia="zh-CN"/>
        </w:rPr>
        <w:t>投标人</w:t>
      </w:r>
      <w:r>
        <w:rPr>
          <w:rFonts w:hint="eastAsia" w:hAnsi="宋体" w:cs="宋体"/>
          <w:color w:val="auto"/>
          <w:highlight w:val="none"/>
        </w:rPr>
        <w:t>为</w:t>
      </w:r>
      <w:r>
        <w:rPr>
          <w:rFonts w:hint="eastAsia" w:hAnsi="宋体" w:cs="宋体"/>
          <w:color w:val="auto"/>
          <w:highlight w:val="none"/>
          <w:lang w:eastAsia="zh-CN"/>
        </w:rPr>
        <w:t>中标候选人</w:t>
      </w:r>
      <w:r>
        <w:rPr>
          <w:rFonts w:hint="eastAsia" w:hAnsi="宋体" w:cs="宋体"/>
          <w:color w:val="auto"/>
          <w:highlight w:val="none"/>
        </w:rPr>
        <w:t>的评标方法。根据投标报价、技术、履约能力、售后服务等进行综合打分，满分100分。价格因素并不作为</w:t>
      </w:r>
      <w:r>
        <w:rPr>
          <w:rFonts w:hint="eastAsia" w:hAnsi="宋体" w:cs="宋体"/>
          <w:color w:val="auto"/>
          <w:highlight w:val="none"/>
          <w:lang w:eastAsia="zh-CN"/>
        </w:rPr>
        <w:t>中标</w:t>
      </w:r>
      <w:r>
        <w:rPr>
          <w:rFonts w:hint="eastAsia" w:hAnsi="宋体" w:cs="宋体"/>
          <w:color w:val="auto"/>
          <w:highlight w:val="none"/>
        </w:rPr>
        <w:t>的唯一依据。</w:t>
      </w:r>
    </w:p>
    <w:p w14:paraId="2C53F01E">
      <w:pPr>
        <w:autoSpaceDE w:val="0"/>
        <w:autoSpaceDN w:val="0"/>
        <w:ind w:firstLine="420"/>
        <w:rPr>
          <w:rFonts w:hint="eastAsia" w:hAnsi="宋体" w:eastAsia="宋体" w:cs="宋体"/>
          <w:color w:val="auto"/>
          <w:highlight w:val="none"/>
          <w:lang w:eastAsia="zh-CN"/>
        </w:rPr>
      </w:pPr>
      <w:r>
        <w:rPr>
          <w:rFonts w:hint="eastAsia" w:hAnsi="宋体" w:cs="宋体"/>
          <w:color w:val="auto"/>
          <w:highlight w:val="none"/>
        </w:rPr>
        <w:t>4.评审程序：初步评审/详细评审/推荐</w:t>
      </w:r>
      <w:r>
        <w:rPr>
          <w:rFonts w:hint="eastAsia" w:hAnsi="宋体" w:cs="宋体"/>
          <w:color w:val="auto"/>
          <w:highlight w:val="none"/>
          <w:lang w:eastAsia="zh-CN"/>
        </w:rPr>
        <w:t>中标候选人</w:t>
      </w:r>
    </w:p>
    <w:p w14:paraId="1FB730BA">
      <w:pPr>
        <w:autoSpaceDE w:val="0"/>
        <w:autoSpaceDN w:val="0"/>
        <w:ind w:firstLine="420"/>
        <w:rPr>
          <w:rFonts w:hAnsi="宋体" w:cs="宋体"/>
          <w:color w:val="auto"/>
          <w:highlight w:val="none"/>
        </w:rPr>
      </w:pPr>
      <w:r>
        <w:rPr>
          <w:rFonts w:hint="eastAsia" w:hAnsi="宋体" w:cs="宋体"/>
          <w:color w:val="auto"/>
          <w:highlight w:val="none"/>
        </w:rPr>
        <w:t>4.1初步评审：资格审查由采购人或采购代理机构依据《初步评审表》规定的标准对投标文件进行审查。不具备招标文件中规定的资格要求的，投标无效。合格</w:t>
      </w:r>
      <w:r>
        <w:rPr>
          <w:rFonts w:hint="eastAsia" w:hAnsi="宋体" w:cs="宋体"/>
          <w:color w:val="auto"/>
          <w:highlight w:val="none"/>
          <w:lang w:eastAsia="zh-CN"/>
        </w:rPr>
        <w:t>投标人</w:t>
      </w:r>
      <w:r>
        <w:rPr>
          <w:rFonts w:hint="eastAsia" w:hAnsi="宋体" w:cs="宋体"/>
          <w:color w:val="auto"/>
          <w:highlight w:val="none"/>
        </w:rPr>
        <w:t>不足3家的，不得评标。</w:t>
      </w:r>
    </w:p>
    <w:p w14:paraId="0417D22B">
      <w:pPr>
        <w:autoSpaceDE w:val="0"/>
        <w:autoSpaceDN w:val="0"/>
        <w:ind w:firstLine="420"/>
        <w:rPr>
          <w:rFonts w:hAnsi="宋体" w:cs="宋体"/>
          <w:color w:val="auto"/>
          <w:highlight w:val="none"/>
        </w:rPr>
      </w:pPr>
      <w:r>
        <w:rPr>
          <w:rFonts w:hint="eastAsia" w:hAnsi="宋体" w:cs="宋体"/>
          <w:color w:val="auto"/>
          <w:highlight w:val="none"/>
        </w:rPr>
        <w:t>4.2政府采购应当采购本国货物。按照财政部《政府采购进口产品管理办法》规定确需采购进口产品的，实行审核管理。经审核允许采购进口产品的，不得排斥符合要求的本国产品。在招标文件中未标明采购进口产品的，均为采购本国产品。</w:t>
      </w:r>
      <w:r>
        <w:rPr>
          <w:rFonts w:hint="eastAsia" w:hAnsi="宋体" w:cs="宋体"/>
          <w:color w:val="auto"/>
          <w:highlight w:val="none"/>
          <w:lang w:eastAsia="zh-CN"/>
        </w:rPr>
        <w:t>投标人</w:t>
      </w:r>
      <w:r>
        <w:rPr>
          <w:rFonts w:hint="eastAsia" w:hAnsi="宋体" w:cs="宋体"/>
          <w:color w:val="auto"/>
          <w:highlight w:val="none"/>
        </w:rPr>
        <w:t>必须投标本国产品，投标进口产品的，投标无效。进口产品是指通过中国海关报关验放进入中国境内且产自关境外的产品。</w:t>
      </w:r>
    </w:p>
    <w:p w14:paraId="01ED3E6B">
      <w:pPr>
        <w:autoSpaceDE w:val="0"/>
        <w:autoSpaceDN w:val="0"/>
        <w:ind w:firstLine="420"/>
        <w:rPr>
          <w:rFonts w:hAnsi="宋体" w:cs="宋体"/>
          <w:color w:val="auto"/>
          <w:highlight w:val="none"/>
        </w:rPr>
      </w:pPr>
      <w:r>
        <w:rPr>
          <w:rFonts w:hint="eastAsia" w:hAnsi="宋体" w:cs="宋体"/>
          <w:color w:val="auto"/>
          <w:highlight w:val="none"/>
        </w:rPr>
        <w:t>4.3提供相同品牌产品且通过资格审查、符合性审查的不同</w:t>
      </w:r>
      <w:r>
        <w:rPr>
          <w:rFonts w:hint="eastAsia" w:hAnsi="宋体" w:cs="宋体"/>
          <w:color w:val="auto"/>
          <w:highlight w:val="none"/>
          <w:lang w:eastAsia="zh-CN"/>
        </w:rPr>
        <w:t>投标人</w:t>
      </w:r>
      <w:r>
        <w:rPr>
          <w:rFonts w:hint="eastAsia" w:hAnsi="宋体" w:cs="宋体"/>
          <w:color w:val="auto"/>
          <w:highlight w:val="none"/>
        </w:rPr>
        <w:t>参加同一合同项下投标的，按一家</w:t>
      </w:r>
      <w:r>
        <w:rPr>
          <w:rFonts w:hint="eastAsia" w:hAnsi="宋体" w:cs="宋体"/>
          <w:color w:val="auto"/>
          <w:highlight w:val="none"/>
          <w:lang w:eastAsia="zh-CN"/>
        </w:rPr>
        <w:t>投标人</w:t>
      </w:r>
      <w:r>
        <w:rPr>
          <w:rFonts w:hint="eastAsia" w:hAnsi="宋体" w:cs="宋体"/>
          <w:color w:val="auto"/>
          <w:highlight w:val="none"/>
        </w:rPr>
        <w:t>计算，评审后得分最高的同品牌</w:t>
      </w:r>
      <w:r>
        <w:rPr>
          <w:rFonts w:hint="eastAsia" w:hAnsi="宋体" w:cs="宋体"/>
          <w:color w:val="auto"/>
          <w:highlight w:val="none"/>
          <w:lang w:eastAsia="zh-CN"/>
        </w:rPr>
        <w:t>投标人</w:t>
      </w:r>
      <w:r>
        <w:rPr>
          <w:rFonts w:hint="eastAsia" w:hAnsi="宋体" w:cs="宋体"/>
          <w:color w:val="auto"/>
          <w:highlight w:val="none"/>
        </w:rPr>
        <w:t>获得</w:t>
      </w:r>
      <w:r>
        <w:rPr>
          <w:rFonts w:hint="eastAsia" w:hAnsi="宋体" w:cs="宋体"/>
          <w:color w:val="auto"/>
          <w:highlight w:val="none"/>
          <w:lang w:eastAsia="zh-CN"/>
        </w:rPr>
        <w:t>中标投标人</w:t>
      </w:r>
      <w:r>
        <w:rPr>
          <w:rFonts w:hint="eastAsia" w:hAnsi="宋体" w:cs="宋体"/>
          <w:color w:val="auto"/>
          <w:highlight w:val="none"/>
        </w:rPr>
        <w:t>推荐资格；评审得分相同的，参照4.2规定确定一个</w:t>
      </w:r>
      <w:r>
        <w:rPr>
          <w:rFonts w:hint="eastAsia" w:hAnsi="宋体" w:cs="宋体"/>
          <w:color w:val="auto"/>
          <w:highlight w:val="none"/>
          <w:lang w:eastAsia="zh-CN"/>
        </w:rPr>
        <w:t>投标人</w:t>
      </w:r>
      <w:r>
        <w:rPr>
          <w:rFonts w:hint="eastAsia" w:hAnsi="宋体" w:cs="宋体"/>
          <w:color w:val="auto"/>
          <w:highlight w:val="none"/>
        </w:rPr>
        <w:t>获得</w:t>
      </w:r>
      <w:r>
        <w:rPr>
          <w:rFonts w:hint="eastAsia" w:hAnsi="宋体" w:cs="宋体"/>
          <w:color w:val="auto"/>
          <w:highlight w:val="none"/>
          <w:lang w:eastAsia="zh-CN"/>
        </w:rPr>
        <w:t>中标投标人</w:t>
      </w:r>
      <w:r>
        <w:rPr>
          <w:rFonts w:hint="eastAsia" w:hAnsi="宋体" w:cs="宋体"/>
          <w:color w:val="auto"/>
          <w:highlight w:val="none"/>
        </w:rPr>
        <w:t>推荐资格，其他同品牌</w:t>
      </w:r>
      <w:r>
        <w:rPr>
          <w:rFonts w:hint="eastAsia" w:hAnsi="宋体" w:cs="宋体"/>
          <w:color w:val="auto"/>
          <w:highlight w:val="none"/>
          <w:lang w:eastAsia="zh-CN"/>
        </w:rPr>
        <w:t>投标人</w:t>
      </w:r>
      <w:r>
        <w:rPr>
          <w:rFonts w:hint="eastAsia" w:hAnsi="宋体" w:cs="宋体"/>
          <w:color w:val="auto"/>
          <w:highlight w:val="none"/>
        </w:rPr>
        <w:t>不作为</w:t>
      </w:r>
      <w:r>
        <w:rPr>
          <w:rFonts w:hint="eastAsia" w:hAnsi="宋体" w:cs="宋体"/>
          <w:color w:val="auto"/>
          <w:highlight w:val="none"/>
          <w:lang w:eastAsia="zh-CN"/>
        </w:rPr>
        <w:t>中标</w:t>
      </w:r>
      <w:r>
        <w:rPr>
          <w:rFonts w:hint="eastAsia" w:hAnsi="宋体" w:cs="宋体"/>
          <w:color w:val="auto"/>
          <w:highlight w:val="none"/>
        </w:rPr>
        <w:t>候选人。初步审查后，因提供相同品牌产品的不同</w:t>
      </w:r>
      <w:r>
        <w:rPr>
          <w:rFonts w:hint="eastAsia" w:hAnsi="宋体" w:cs="宋体"/>
          <w:color w:val="auto"/>
          <w:highlight w:val="none"/>
          <w:lang w:eastAsia="zh-CN"/>
        </w:rPr>
        <w:t>投标人</w:t>
      </w:r>
      <w:r>
        <w:rPr>
          <w:rFonts w:hint="eastAsia" w:hAnsi="宋体" w:cs="宋体"/>
          <w:color w:val="auto"/>
          <w:highlight w:val="none"/>
        </w:rPr>
        <w:t>按一家计算而导致有效</w:t>
      </w:r>
      <w:r>
        <w:rPr>
          <w:rFonts w:hint="eastAsia" w:hAnsi="宋体" w:cs="宋体"/>
          <w:color w:val="auto"/>
          <w:highlight w:val="none"/>
          <w:lang w:eastAsia="zh-CN"/>
        </w:rPr>
        <w:t>投标人</w:t>
      </w:r>
      <w:r>
        <w:rPr>
          <w:rFonts w:hint="eastAsia" w:hAnsi="宋体" w:cs="宋体"/>
          <w:color w:val="auto"/>
          <w:highlight w:val="none"/>
        </w:rPr>
        <w:t>不足3家的，应予废标。</w:t>
      </w:r>
    </w:p>
    <w:p w14:paraId="3F7E53E2">
      <w:pPr>
        <w:autoSpaceDE w:val="0"/>
        <w:autoSpaceDN w:val="0"/>
        <w:ind w:firstLine="420"/>
        <w:rPr>
          <w:rFonts w:hAnsi="宋体" w:cs="宋体"/>
          <w:color w:val="auto"/>
          <w:highlight w:val="none"/>
        </w:rPr>
      </w:pPr>
      <w:r>
        <w:rPr>
          <w:rFonts w:hint="eastAsia" w:hAnsi="宋体" w:cs="宋体"/>
          <w:color w:val="auto"/>
          <w:highlight w:val="none"/>
        </w:rPr>
        <w:t>非单一产品采购项目，采购人应当根据采购项目技术构成、产品价格比重等合理确定核心产品，并在招标文件中载明。多家</w:t>
      </w:r>
      <w:r>
        <w:rPr>
          <w:rFonts w:hint="eastAsia" w:hAnsi="宋体" w:cs="宋体"/>
          <w:color w:val="auto"/>
          <w:highlight w:val="none"/>
          <w:lang w:eastAsia="zh-CN"/>
        </w:rPr>
        <w:t>投标人</w:t>
      </w:r>
      <w:r>
        <w:rPr>
          <w:rFonts w:hint="eastAsia" w:hAnsi="宋体" w:cs="宋体"/>
          <w:color w:val="auto"/>
          <w:highlight w:val="none"/>
        </w:rPr>
        <w:t>提供的核心产品品牌（全部）相同的，按前款规定处理。</w:t>
      </w:r>
    </w:p>
    <w:p w14:paraId="7696656A">
      <w:pPr>
        <w:autoSpaceDE w:val="0"/>
        <w:autoSpaceDN w:val="0"/>
        <w:ind w:firstLine="420"/>
        <w:rPr>
          <w:rFonts w:hAnsi="宋体" w:cs="宋体"/>
          <w:color w:val="auto"/>
          <w:highlight w:val="none"/>
        </w:rPr>
      </w:pPr>
      <w:r>
        <w:rPr>
          <w:rFonts w:hint="eastAsia" w:hAnsi="宋体" w:cs="宋体"/>
          <w:color w:val="auto"/>
          <w:highlight w:val="none"/>
        </w:rPr>
        <w:t>4.4详细评审：评标委员会按《评标办法前附表二》规定的量化因素和分值进行打分，并计算出综合评估得分。评分分值计算保留小数点后两位，小数点后第三位“四舍五入”。</w:t>
      </w:r>
    </w:p>
    <w:p w14:paraId="39E65B6F">
      <w:pPr>
        <w:autoSpaceDE w:val="0"/>
        <w:autoSpaceDN w:val="0"/>
        <w:ind w:firstLine="420"/>
        <w:rPr>
          <w:rFonts w:hAnsi="宋体" w:cs="宋体"/>
          <w:color w:val="auto"/>
          <w:highlight w:val="none"/>
        </w:rPr>
      </w:pPr>
      <w:r>
        <w:rPr>
          <w:rFonts w:hint="eastAsia" w:hAnsi="宋体" w:cs="宋体"/>
          <w:color w:val="auto"/>
          <w:highlight w:val="none"/>
        </w:rPr>
        <w:t>4.5推荐</w:t>
      </w:r>
      <w:r>
        <w:rPr>
          <w:rFonts w:hint="eastAsia" w:hAnsi="宋体" w:cs="宋体"/>
          <w:color w:val="auto"/>
          <w:highlight w:val="none"/>
          <w:lang w:val="en-US" w:eastAsia="zh-CN"/>
        </w:rPr>
        <w:t>中标</w:t>
      </w:r>
      <w:r>
        <w:rPr>
          <w:rFonts w:hint="eastAsia" w:hAnsi="宋体" w:cs="宋体"/>
          <w:color w:val="auto"/>
          <w:highlight w:val="none"/>
        </w:rPr>
        <w:t>候选人</w:t>
      </w:r>
    </w:p>
    <w:p w14:paraId="01C5FE17">
      <w:pPr>
        <w:autoSpaceDE w:val="0"/>
        <w:autoSpaceDN w:val="0"/>
        <w:ind w:firstLine="420"/>
        <w:rPr>
          <w:rFonts w:hAnsi="宋体" w:cs="宋体"/>
          <w:color w:val="auto"/>
          <w:highlight w:val="none"/>
        </w:rPr>
      </w:pPr>
      <w:r>
        <w:rPr>
          <w:rFonts w:hint="eastAsia" w:hAnsi="宋体" w:cs="宋体"/>
          <w:color w:val="auto"/>
          <w:highlight w:val="none"/>
        </w:rPr>
        <w:t>4.5.1汇总各评委得分，</w:t>
      </w:r>
      <w:r>
        <w:rPr>
          <w:rFonts w:hint="eastAsia" w:hAnsi="宋体" w:cs="宋体"/>
          <w:color w:val="auto"/>
          <w:highlight w:val="none"/>
          <w:lang w:val="en-US" w:eastAsia="zh-CN"/>
        </w:rPr>
        <w:t>投标人</w:t>
      </w:r>
      <w:r>
        <w:rPr>
          <w:rFonts w:hint="eastAsia" w:hAnsi="宋体" w:cs="宋体"/>
          <w:color w:val="auto"/>
          <w:highlight w:val="none"/>
        </w:rPr>
        <w:t>最终得分按各位评委打分平均值计取，保留小数点后两位。评标结果按评审后得分由高到低顺序排列。得分相同的，按投标报价由低到高顺序排列。得分且投标报价相同的并列。</w:t>
      </w:r>
      <w:r>
        <w:rPr>
          <w:rFonts w:hint="eastAsia" w:hAnsi="宋体" w:cs="宋体"/>
          <w:color w:val="auto"/>
          <w:highlight w:val="none"/>
          <w:lang w:val="en-US" w:eastAsia="zh-CN"/>
        </w:rPr>
        <w:t>中标</w:t>
      </w:r>
      <w:r>
        <w:rPr>
          <w:rFonts w:hint="eastAsia" w:hAnsi="宋体" w:cs="宋体"/>
          <w:color w:val="auto"/>
          <w:highlight w:val="none"/>
        </w:rPr>
        <w:t>候选人并列的，则按技术评分得分由高到低排序。如技术评分得分相同，按商务评分得分由高到低排列；如商务评分相同的，按技术评分得分由高到低排列；以上均相同的，由评标委员会采取随机抽取方式确定。评委会按照评标结果排列顺序确定前三名的依次为第一</w:t>
      </w:r>
      <w:r>
        <w:rPr>
          <w:rFonts w:hint="eastAsia" w:hAnsi="宋体" w:cs="宋体"/>
          <w:color w:val="auto"/>
          <w:highlight w:val="none"/>
          <w:lang w:val="en-US" w:eastAsia="zh-CN"/>
        </w:rPr>
        <w:t>中标</w:t>
      </w:r>
      <w:r>
        <w:rPr>
          <w:rFonts w:hint="eastAsia" w:hAnsi="宋体" w:cs="宋体"/>
          <w:color w:val="auto"/>
          <w:highlight w:val="none"/>
        </w:rPr>
        <w:t>候选人、第二</w:t>
      </w:r>
      <w:r>
        <w:rPr>
          <w:rFonts w:hint="eastAsia" w:hAnsi="宋体" w:cs="宋体"/>
          <w:color w:val="auto"/>
          <w:highlight w:val="none"/>
          <w:lang w:val="en-US" w:eastAsia="zh-CN"/>
        </w:rPr>
        <w:t>中标</w:t>
      </w:r>
      <w:r>
        <w:rPr>
          <w:rFonts w:hint="eastAsia" w:hAnsi="宋体" w:cs="宋体"/>
          <w:color w:val="auto"/>
          <w:highlight w:val="none"/>
        </w:rPr>
        <w:t>候选人和第三</w:t>
      </w:r>
      <w:r>
        <w:rPr>
          <w:rFonts w:hint="eastAsia" w:hAnsi="宋体" w:cs="宋体"/>
          <w:color w:val="auto"/>
          <w:highlight w:val="none"/>
          <w:lang w:val="en-US" w:eastAsia="zh-CN"/>
        </w:rPr>
        <w:t>中标</w:t>
      </w:r>
      <w:r>
        <w:rPr>
          <w:rFonts w:hint="eastAsia" w:hAnsi="宋体" w:cs="宋体"/>
          <w:color w:val="auto"/>
          <w:highlight w:val="none"/>
        </w:rPr>
        <w:t>候选人。</w:t>
      </w:r>
    </w:p>
    <w:p w14:paraId="0331E6D8">
      <w:pPr>
        <w:autoSpaceDE w:val="0"/>
        <w:autoSpaceDN w:val="0"/>
        <w:ind w:firstLine="420"/>
        <w:rPr>
          <w:rFonts w:hAnsi="宋体" w:cs="宋体"/>
          <w:color w:val="auto"/>
          <w:highlight w:val="none"/>
        </w:rPr>
      </w:pPr>
      <w:r>
        <w:rPr>
          <w:rFonts w:hint="eastAsia" w:hAnsi="宋体" w:cs="宋体"/>
          <w:color w:val="auto"/>
          <w:highlight w:val="none"/>
        </w:rPr>
        <w:t>4.5.2评标委员会成员对需要共同认定的事项存在争议的，应当按照少数服从多数的原则作出结论。持不同意见的评标委员会成员应当在评标报告上签署不同意见及理由，否则视为同意评标报告。</w:t>
      </w:r>
    </w:p>
    <w:p w14:paraId="1F982D72">
      <w:pPr>
        <w:autoSpaceDE w:val="0"/>
        <w:autoSpaceDN w:val="0"/>
        <w:ind w:firstLine="420"/>
        <w:rPr>
          <w:rFonts w:hAnsi="宋体" w:cs="宋体"/>
          <w:bCs/>
          <w:color w:val="auto"/>
          <w:szCs w:val="21"/>
          <w:highlight w:val="none"/>
          <w:lang w:val="zh-CN"/>
        </w:rPr>
      </w:pPr>
      <w:r>
        <w:rPr>
          <w:rFonts w:hint="eastAsia" w:hAnsi="宋体" w:cs="宋体"/>
          <w:bCs/>
          <w:color w:val="auto"/>
          <w:szCs w:val="21"/>
          <w:highlight w:val="none"/>
        </w:rPr>
        <w:t>5、</w:t>
      </w:r>
      <w:r>
        <w:rPr>
          <w:rFonts w:hint="eastAsia" w:hAnsi="宋体" w:cs="宋体"/>
          <w:bCs/>
          <w:color w:val="auto"/>
          <w:szCs w:val="21"/>
          <w:highlight w:val="none"/>
          <w:lang w:val="zh-CN"/>
        </w:rPr>
        <w:t>政府采购政策落实：</w:t>
      </w:r>
    </w:p>
    <w:p w14:paraId="75D837B2">
      <w:pPr>
        <w:autoSpaceDE w:val="0"/>
        <w:autoSpaceDN w:val="0"/>
        <w:ind w:firstLine="411" w:firstLineChars="196"/>
        <w:rPr>
          <w:rFonts w:hAnsi="宋体" w:cs="宋体"/>
          <w:color w:val="auto"/>
          <w:szCs w:val="21"/>
          <w:highlight w:val="none"/>
        </w:rPr>
      </w:pPr>
      <w:r>
        <w:rPr>
          <w:rFonts w:hint="eastAsia" w:hAnsi="宋体" w:cs="宋体"/>
          <w:color w:val="auto"/>
          <w:szCs w:val="21"/>
          <w:highlight w:val="none"/>
        </w:rPr>
        <w:t>备注：评标委员会在评审时，将按下列规定计算价格扣除（并按扣除后价格作为参与评审价格）：</w:t>
      </w:r>
    </w:p>
    <w:p w14:paraId="76F368B2">
      <w:pPr>
        <w:autoSpaceDE w:val="0"/>
        <w:autoSpaceDN w:val="0"/>
        <w:ind w:firstLine="420"/>
        <w:rPr>
          <w:rFonts w:hAnsi="宋体" w:cs="宋体"/>
          <w:color w:val="auto"/>
          <w:szCs w:val="21"/>
          <w:highlight w:val="none"/>
        </w:rPr>
      </w:pPr>
      <w:r>
        <w:rPr>
          <w:rFonts w:hint="eastAsia" w:hAnsi="宋体" w:cs="宋体"/>
          <w:color w:val="auto"/>
          <w:szCs w:val="21"/>
          <w:highlight w:val="none"/>
        </w:rPr>
        <w:t>（1）对于列入财政部、发展改革委、生态环境部发布的《环境标志产品品目清单》的产品，对其投标价格给予3%的价格扣除，并按照扣除后的价格参加评审。采购项目或者分包中既包含环境标志产品也包含非环境标志产品的，只对列入《环境标志产品品目清单》的产品按其在总报价中所占的比例给予价格扣除。</w:t>
      </w:r>
    </w:p>
    <w:p w14:paraId="434547E8">
      <w:pPr>
        <w:autoSpaceDE w:val="0"/>
        <w:autoSpaceDN w:val="0"/>
        <w:ind w:firstLine="420"/>
        <w:rPr>
          <w:rFonts w:hAnsi="宋体" w:cs="宋体"/>
          <w:color w:val="auto"/>
          <w:szCs w:val="21"/>
          <w:highlight w:val="none"/>
        </w:rPr>
      </w:pPr>
      <w:r>
        <w:rPr>
          <w:rFonts w:hint="eastAsia" w:hAnsi="宋体" w:cs="宋体"/>
          <w:color w:val="auto"/>
          <w:szCs w:val="21"/>
          <w:highlight w:val="none"/>
        </w:rPr>
        <w:t>（2）对于列入财政部、发展改革委、生态环境部发布的《节能产品品目清单》但不属于国家强制采购的产品，对其投标价格给予3%的价格扣除，并按照扣除后的价格参加评审。采购项目或者分包中既包含节能产品也包含非节能产品的，只对列入《节能产品品目清单》但不属于国家强制采购的产品按其在总报价中所占的比例给予价格扣除。</w:t>
      </w:r>
    </w:p>
    <w:p w14:paraId="5934BE54">
      <w:pPr>
        <w:autoSpaceDE w:val="0"/>
        <w:autoSpaceDN w:val="0"/>
        <w:ind w:firstLine="420"/>
        <w:rPr>
          <w:rFonts w:hAnsi="宋体" w:cs="宋体"/>
          <w:color w:val="auto"/>
          <w:szCs w:val="21"/>
          <w:highlight w:val="none"/>
        </w:rPr>
      </w:pPr>
      <w:r>
        <w:rPr>
          <w:rFonts w:hint="eastAsia" w:hAnsi="宋体" w:cs="宋体"/>
          <w:color w:val="auto"/>
          <w:szCs w:val="21"/>
          <w:highlight w:val="none"/>
        </w:rPr>
        <w:t>（3）对于列入财政部、国家发改委、信息产业部发布的《无线局域网认证产品政府采购清单》的产品，对其投标价格给予3%的价格扣除，并按扣除后的价格参加评审。采购项目或者分包中既包含清单中产品也包含非清单中产品的，只对列入清单的产品按其在总报价中所占的比例给予价格扣除。</w:t>
      </w:r>
    </w:p>
    <w:p w14:paraId="286F1DA8">
      <w:pPr>
        <w:autoSpaceDE w:val="0"/>
        <w:autoSpaceDN w:val="0"/>
        <w:ind w:firstLine="420"/>
        <w:rPr>
          <w:rFonts w:hAnsi="宋体" w:cs="宋体"/>
          <w:color w:val="auto"/>
          <w:szCs w:val="21"/>
          <w:highlight w:val="none"/>
        </w:rPr>
      </w:pPr>
      <w:r>
        <w:rPr>
          <w:rFonts w:hint="eastAsia" w:hAnsi="宋体" w:cs="宋体"/>
          <w:color w:val="auto"/>
          <w:szCs w:val="21"/>
          <w:highlight w:val="none"/>
        </w:rPr>
        <w:t>（4）投标产品同时列入上述多个清单的，将上述规定的价格扣除比例叠加后计算价格扣除。</w:t>
      </w:r>
    </w:p>
    <w:p w14:paraId="5D907D79">
      <w:pPr>
        <w:autoSpaceDE w:val="0"/>
        <w:autoSpaceDN w:val="0"/>
        <w:ind w:firstLine="420"/>
        <w:rPr>
          <w:rFonts w:hAnsi="宋体" w:cs="宋体"/>
          <w:color w:val="auto"/>
          <w:szCs w:val="21"/>
          <w:highlight w:val="none"/>
        </w:rPr>
      </w:pPr>
      <w:r>
        <w:rPr>
          <w:rFonts w:hint="eastAsia" w:hAnsi="宋体" w:cs="宋体"/>
          <w:color w:val="auto"/>
          <w:szCs w:val="21"/>
          <w:highlight w:val="none"/>
        </w:rPr>
        <w:t>（5）根据财库【2020】46号文件规定，对小型和微型企业的投标报价给予10%的价格扣除，并按照扣除后的价格参加评审。</w:t>
      </w:r>
    </w:p>
    <w:p w14:paraId="23840AD4">
      <w:pPr>
        <w:autoSpaceDE w:val="0"/>
        <w:autoSpaceDN w:val="0"/>
        <w:ind w:firstLine="420"/>
        <w:rPr>
          <w:rFonts w:hAnsi="宋体" w:cs="宋体"/>
          <w:color w:val="auto"/>
          <w:szCs w:val="21"/>
          <w:highlight w:val="none"/>
        </w:rPr>
      </w:pPr>
      <w:r>
        <w:rPr>
          <w:rFonts w:hint="eastAsia" w:hAnsi="宋体" w:cs="宋体"/>
          <w:color w:val="auto"/>
          <w:szCs w:val="21"/>
          <w:highlight w:val="none"/>
        </w:rPr>
        <w:t>（6）《财政部司法部关于政府采购支持监狱企业发展有关问题的通知》文件规定，在政府采购活动中，监狱企业视同小型、微型企业，享受预留份额、评审中价格扣除等政府采购促进中小企业发展的政府采购政策。对监狱企业的投标报价给予3%的价格扣除，并按照扣除后的价格参加评审。</w:t>
      </w:r>
    </w:p>
    <w:p w14:paraId="767838B6">
      <w:pPr>
        <w:autoSpaceDE w:val="0"/>
        <w:autoSpaceDN w:val="0"/>
        <w:ind w:firstLine="420"/>
        <w:rPr>
          <w:rFonts w:hAnsi="宋体" w:cs="宋体"/>
          <w:color w:val="auto"/>
          <w:szCs w:val="21"/>
          <w:highlight w:val="none"/>
        </w:rPr>
      </w:pPr>
      <w:r>
        <w:rPr>
          <w:rFonts w:hint="eastAsia" w:hAnsi="宋体" w:cs="宋体"/>
          <w:color w:val="auto"/>
          <w:szCs w:val="21"/>
          <w:highlight w:val="none"/>
        </w:rPr>
        <w:t>（7）《关于促进残疾人就业政府采购政策的通知》（财库〔2017〕141号），在政府采购活动中，残疾人福利性单位视同小型、微型企业，对残疾人福利性单位的投标报价给予3%的价格扣除，并按照扣除后的价格参评加审。</w:t>
      </w:r>
    </w:p>
    <w:p w14:paraId="63BF1DE8">
      <w:pPr>
        <w:autoSpaceDE w:val="0"/>
        <w:autoSpaceDN w:val="0"/>
        <w:ind w:firstLine="420"/>
        <w:rPr>
          <w:rFonts w:hAnsi="宋体" w:cs="宋体"/>
          <w:color w:val="auto"/>
          <w:szCs w:val="21"/>
          <w:highlight w:val="none"/>
        </w:rPr>
      </w:pPr>
      <w:r>
        <w:rPr>
          <w:rFonts w:hint="eastAsia" w:hAnsi="宋体" w:cs="宋体"/>
          <w:color w:val="auto"/>
          <w:szCs w:val="21"/>
          <w:highlight w:val="none"/>
        </w:rPr>
        <w:t>（8）价格扣除的依据：第（1）至（4）条提供投标货物相关认证证书或证明材料复印件加盖</w:t>
      </w:r>
      <w:r>
        <w:rPr>
          <w:rFonts w:hint="eastAsia" w:hAnsi="宋体" w:cs="宋体"/>
          <w:color w:val="auto"/>
          <w:szCs w:val="21"/>
          <w:highlight w:val="none"/>
          <w:lang w:eastAsia="zh-CN"/>
        </w:rPr>
        <w:t>投标人</w:t>
      </w:r>
      <w:r>
        <w:rPr>
          <w:rFonts w:hint="eastAsia" w:hAnsi="宋体" w:cs="宋体"/>
          <w:color w:val="auto"/>
          <w:szCs w:val="21"/>
          <w:highlight w:val="none"/>
        </w:rPr>
        <w:t>公章。第（5）条提供中小企业声明函（格式参照财库【2020】46号文件规定格式）复印件加盖</w:t>
      </w:r>
      <w:r>
        <w:rPr>
          <w:rFonts w:hint="eastAsia" w:hAnsi="宋体" w:cs="宋体"/>
          <w:color w:val="auto"/>
          <w:szCs w:val="21"/>
          <w:highlight w:val="none"/>
          <w:lang w:eastAsia="zh-CN"/>
        </w:rPr>
        <w:t>投标人</w:t>
      </w:r>
      <w:r>
        <w:rPr>
          <w:rFonts w:hint="eastAsia" w:hAnsi="宋体" w:cs="宋体"/>
          <w:color w:val="auto"/>
          <w:szCs w:val="21"/>
          <w:highlight w:val="none"/>
        </w:rPr>
        <w:t>公章，第（6）条应当提供由省级以上监狱管理局、戒毒管理局（含新疆生产建设兵团）出具的属于监狱企业的证明文件复印件加盖</w:t>
      </w:r>
      <w:r>
        <w:rPr>
          <w:rFonts w:hint="eastAsia" w:hAnsi="宋体" w:cs="宋体"/>
          <w:color w:val="auto"/>
          <w:szCs w:val="21"/>
          <w:highlight w:val="none"/>
          <w:lang w:eastAsia="zh-CN"/>
        </w:rPr>
        <w:t>投标人</w:t>
      </w:r>
      <w:r>
        <w:rPr>
          <w:rFonts w:hint="eastAsia" w:hAnsi="宋体" w:cs="宋体"/>
          <w:color w:val="auto"/>
          <w:szCs w:val="21"/>
          <w:highlight w:val="none"/>
        </w:rPr>
        <w:t>公章。第（7）条执行财库〔2017〕141号文件规定，第（5）条与第（6）条、第（7）条政策不能叠加扣除。专门面向中小企业采购项目，不适用以上政策。</w:t>
      </w:r>
    </w:p>
    <w:p w14:paraId="5F1D1E4C">
      <w:pPr>
        <w:ind w:firstLine="420"/>
        <w:rPr>
          <w:rFonts w:hAnsi="宋体" w:cs="宋体"/>
          <w:color w:val="auto"/>
          <w:szCs w:val="21"/>
          <w:highlight w:val="none"/>
        </w:rPr>
      </w:pPr>
      <w:r>
        <w:rPr>
          <w:rFonts w:hint="eastAsia" w:hAnsi="宋体" w:cs="宋体"/>
          <w:color w:val="auto"/>
          <w:szCs w:val="21"/>
          <w:highlight w:val="none"/>
        </w:rPr>
        <w:t>（9）中小企业认定标准：工信部联企业【2011】300号。</w:t>
      </w:r>
    </w:p>
    <w:p w14:paraId="7BDD0744">
      <w:pPr>
        <w:ind w:firstLine="420"/>
        <w:rPr>
          <w:rFonts w:hint="eastAsia"/>
          <w:color w:val="auto"/>
          <w:kern w:val="44"/>
          <w:highlight w:val="none"/>
        </w:rPr>
      </w:pPr>
      <w:r>
        <w:rPr>
          <w:rFonts w:hint="eastAsia" w:hAnsi="宋体" w:cs="宋体"/>
          <w:bCs/>
          <w:color w:val="auto"/>
          <w:szCs w:val="21"/>
          <w:highlight w:val="none"/>
          <w:lang w:val="zh-CN"/>
        </w:rPr>
        <w:t>（</w:t>
      </w:r>
      <w:r>
        <w:rPr>
          <w:rFonts w:hint="eastAsia" w:hAnsi="宋体" w:cs="宋体"/>
          <w:bCs/>
          <w:color w:val="auto"/>
          <w:szCs w:val="21"/>
          <w:highlight w:val="none"/>
        </w:rPr>
        <w:t>10</w:t>
      </w:r>
      <w:r>
        <w:rPr>
          <w:rFonts w:hint="eastAsia" w:hAnsi="宋体" w:cs="宋体"/>
          <w:bCs/>
          <w:color w:val="auto"/>
          <w:szCs w:val="21"/>
          <w:highlight w:val="none"/>
          <w:lang w:val="zh-CN"/>
        </w:rPr>
        <w:t>）《关于进一步加大政府采购支持中小企业力度的通知》财库〔2022〕19号文件等国家最新政策</w:t>
      </w:r>
      <w:bookmarkStart w:id="126" w:name="_Toc230599467"/>
    </w:p>
    <w:p w14:paraId="0F32B96A">
      <w:pPr>
        <w:spacing w:line="360" w:lineRule="auto"/>
        <w:rPr>
          <w:rFonts w:hint="eastAsia" w:ascii="宋体" w:hAnsi="宋体"/>
          <w:b/>
          <w:color w:val="auto"/>
          <w:highlight w:val="none"/>
        </w:rPr>
      </w:pPr>
      <w:r>
        <w:rPr>
          <w:rFonts w:hint="eastAsia" w:ascii="宋体" w:hAnsi="宋体" w:eastAsia="宋体" w:cs="Times New Roman"/>
          <w:b/>
          <w:color w:val="auto"/>
          <w:highlight w:val="none"/>
          <w:lang w:val="en-US" w:eastAsia="zh-CN"/>
        </w:rPr>
        <w:t>6、</w:t>
      </w:r>
      <w:r>
        <w:rPr>
          <w:rFonts w:hint="eastAsia" w:hAnsi="宋体" w:cs="Times New Roman"/>
          <w:b/>
          <w:color w:val="auto"/>
          <w:highlight w:val="none"/>
          <w:lang w:val="en-US" w:eastAsia="zh-CN"/>
        </w:rPr>
        <w:t>投标</w:t>
      </w:r>
      <w:r>
        <w:rPr>
          <w:rFonts w:hint="eastAsia" w:ascii="宋体" w:hAnsi="宋体"/>
          <w:b/>
          <w:color w:val="auto"/>
          <w:highlight w:val="none"/>
        </w:rPr>
        <w:t>文件的澄清和补正</w:t>
      </w:r>
    </w:p>
    <w:p w14:paraId="5ABBDA8A">
      <w:pPr>
        <w:spacing w:line="360" w:lineRule="auto"/>
        <w:ind w:firstLine="420" w:firstLineChars="200"/>
        <w:rPr>
          <w:rFonts w:hint="eastAsia" w:ascii="宋体" w:hAnsi="宋体"/>
          <w:bCs/>
          <w:color w:val="auto"/>
          <w:highlight w:val="none"/>
        </w:rPr>
      </w:pPr>
      <w:r>
        <w:rPr>
          <w:rFonts w:hint="eastAsia" w:ascii="宋体" w:hAnsi="宋体"/>
          <w:bCs/>
          <w:color w:val="auto"/>
          <w:highlight w:val="none"/>
          <w:lang w:val="en-US" w:eastAsia="zh-CN"/>
        </w:rPr>
        <w:t>6.1</w:t>
      </w:r>
      <w:r>
        <w:rPr>
          <w:rFonts w:hint="eastAsia" w:ascii="宋体" w:hAnsi="宋体"/>
          <w:bCs/>
          <w:color w:val="auto"/>
          <w:highlight w:val="none"/>
        </w:rPr>
        <w:t>在评审过程中，</w:t>
      </w:r>
      <w:r>
        <w:rPr>
          <w:rFonts w:hint="eastAsia" w:hAnsi="宋体"/>
          <w:bCs/>
          <w:color w:val="auto"/>
          <w:highlight w:val="none"/>
          <w:lang w:val="en-US" w:eastAsia="zh-CN"/>
        </w:rPr>
        <w:t>评标委员会</w:t>
      </w:r>
      <w:r>
        <w:rPr>
          <w:rFonts w:hint="eastAsia" w:ascii="宋体" w:hAnsi="宋体"/>
          <w:bCs/>
          <w:color w:val="auto"/>
          <w:highlight w:val="none"/>
        </w:rPr>
        <w:t>可以书面形式要求</w:t>
      </w:r>
      <w:r>
        <w:rPr>
          <w:rFonts w:hint="eastAsia" w:hAnsi="宋体"/>
          <w:bCs/>
          <w:color w:val="auto"/>
          <w:highlight w:val="none"/>
          <w:lang w:val="en-US" w:eastAsia="zh-CN"/>
        </w:rPr>
        <w:t>投标人</w:t>
      </w:r>
      <w:r>
        <w:rPr>
          <w:rFonts w:hint="eastAsia" w:ascii="宋体" w:hAnsi="宋体"/>
          <w:bCs/>
          <w:color w:val="auto"/>
          <w:highlight w:val="none"/>
        </w:rPr>
        <w:t>对所提交</w:t>
      </w:r>
      <w:r>
        <w:rPr>
          <w:rFonts w:hint="eastAsia" w:hAnsi="宋体"/>
          <w:bCs/>
          <w:color w:val="auto"/>
          <w:highlight w:val="none"/>
          <w:lang w:val="en-US" w:eastAsia="zh-CN"/>
        </w:rPr>
        <w:t>投标</w:t>
      </w:r>
      <w:r>
        <w:rPr>
          <w:rFonts w:hint="eastAsia" w:ascii="宋体" w:hAnsi="宋体"/>
          <w:bCs/>
          <w:color w:val="auto"/>
          <w:highlight w:val="none"/>
        </w:rPr>
        <w:t>文件中不明确的内容进行书面澄清或说明，或者对细微偏差进行补正。</w:t>
      </w:r>
      <w:r>
        <w:rPr>
          <w:rFonts w:hint="eastAsia" w:hAnsi="宋体"/>
          <w:bCs/>
          <w:color w:val="auto"/>
          <w:highlight w:val="none"/>
          <w:lang w:val="en-US" w:eastAsia="zh-CN"/>
        </w:rPr>
        <w:t>评标委员会</w:t>
      </w:r>
      <w:r>
        <w:rPr>
          <w:rFonts w:hint="eastAsia" w:ascii="宋体" w:hAnsi="宋体"/>
          <w:bCs/>
          <w:color w:val="auto"/>
          <w:highlight w:val="none"/>
        </w:rPr>
        <w:t>不接受</w:t>
      </w:r>
      <w:r>
        <w:rPr>
          <w:rFonts w:hint="eastAsia" w:hAnsi="宋体"/>
          <w:bCs/>
          <w:color w:val="auto"/>
          <w:highlight w:val="none"/>
          <w:lang w:val="en-US" w:eastAsia="zh-CN"/>
        </w:rPr>
        <w:t>投标人</w:t>
      </w:r>
      <w:r>
        <w:rPr>
          <w:rFonts w:hint="eastAsia" w:ascii="宋体" w:hAnsi="宋体"/>
          <w:bCs/>
          <w:color w:val="auto"/>
          <w:highlight w:val="none"/>
        </w:rPr>
        <w:t>主动提出的澄清、说明或补正。</w:t>
      </w:r>
      <w:r>
        <w:rPr>
          <w:rFonts w:hint="eastAsia" w:hAnsi="宋体"/>
          <w:color w:val="auto"/>
          <w:szCs w:val="21"/>
          <w:highlight w:val="none"/>
          <w:lang w:val="en-US" w:eastAsia="zh-CN"/>
        </w:rPr>
        <w:t>投标人</w:t>
      </w:r>
      <w:r>
        <w:rPr>
          <w:rFonts w:hint="eastAsia" w:ascii="宋体" w:hAnsi="宋体"/>
          <w:color w:val="auto"/>
          <w:szCs w:val="21"/>
          <w:highlight w:val="none"/>
          <w:lang w:val="en-US" w:eastAsia="zh-CN"/>
        </w:rPr>
        <w:t>应作声明响应并附法定代表人签字，此项为实质性内容必须满足要求。</w:t>
      </w:r>
    </w:p>
    <w:p w14:paraId="61A7D1B3">
      <w:pPr>
        <w:spacing w:line="360" w:lineRule="auto"/>
        <w:ind w:firstLine="420" w:firstLineChars="200"/>
        <w:rPr>
          <w:rFonts w:hint="eastAsia" w:ascii="宋体" w:hAnsi="宋体"/>
          <w:bCs/>
          <w:color w:val="auto"/>
          <w:highlight w:val="none"/>
        </w:rPr>
      </w:pPr>
      <w:r>
        <w:rPr>
          <w:rFonts w:hint="eastAsia" w:ascii="宋体" w:hAnsi="宋体"/>
          <w:bCs/>
          <w:color w:val="auto"/>
          <w:highlight w:val="none"/>
          <w:lang w:val="en-US" w:eastAsia="zh-CN"/>
        </w:rPr>
        <w:t>6.2</w:t>
      </w:r>
      <w:r>
        <w:rPr>
          <w:rFonts w:hint="eastAsia" w:ascii="宋体" w:hAnsi="宋体"/>
          <w:bCs/>
          <w:color w:val="auto"/>
          <w:highlight w:val="none"/>
        </w:rPr>
        <w:t>澄清、说明和补正不得改变</w:t>
      </w:r>
      <w:r>
        <w:rPr>
          <w:rFonts w:hint="eastAsia" w:hAnsi="宋体"/>
          <w:bCs/>
          <w:color w:val="auto"/>
          <w:highlight w:val="none"/>
          <w:lang w:val="en-US" w:eastAsia="zh-CN"/>
        </w:rPr>
        <w:t>投标</w:t>
      </w:r>
      <w:r>
        <w:rPr>
          <w:rFonts w:hint="eastAsia" w:ascii="宋体" w:hAnsi="宋体"/>
          <w:bCs/>
          <w:color w:val="auto"/>
          <w:highlight w:val="none"/>
        </w:rPr>
        <w:t>文件的实质性内容。</w:t>
      </w:r>
      <w:r>
        <w:rPr>
          <w:rFonts w:hint="eastAsia" w:hAnsi="宋体"/>
          <w:bCs/>
          <w:color w:val="auto"/>
          <w:highlight w:val="none"/>
          <w:lang w:val="en-US" w:eastAsia="zh-CN"/>
        </w:rPr>
        <w:t>投标人</w:t>
      </w:r>
      <w:r>
        <w:rPr>
          <w:rFonts w:hint="eastAsia" w:ascii="宋体" w:hAnsi="宋体"/>
          <w:bCs/>
          <w:color w:val="auto"/>
          <w:highlight w:val="none"/>
        </w:rPr>
        <w:t>的书面澄清、说明和补正属于</w:t>
      </w:r>
      <w:r>
        <w:rPr>
          <w:rFonts w:hint="eastAsia" w:hAnsi="宋体"/>
          <w:bCs/>
          <w:color w:val="auto"/>
          <w:highlight w:val="none"/>
          <w:lang w:val="en-US" w:eastAsia="zh-CN"/>
        </w:rPr>
        <w:t>投标</w:t>
      </w:r>
      <w:r>
        <w:rPr>
          <w:rFonts w:hint="eastAsia" w:ascii="宋体" w:hAnsi="宋体"/>
          <w:bCs/>
          <w:color w:val="auto"/>
          <w:highlight w:val="none"/>
        </w:rPr>
        <w:t>文件的组成部分。</w:t>
      </w:r>
    </w:p>
    <w:p w14:paraId="2D23317E">
      <w:pPr>
        <w:spacing w:line="360" w:lineRule="auto"/>
        <w:ind w:firstLine="420" w:firstLineChars="200"/>
        <w:rPr>
          <w:rFonts w:hint="eastAsia" w:ascii="宋体" w:hAnsi="宋体"/>
          <w:bCs/>
          <w:color w:val="auto"/>
          <w:highlight w:val="none"/>
        </w:rPr>
      </w:pPr>
      <w:r>
        <w:rPr>
          <w:rFonts w:hint="eastAsia" w:ascii="宋体" w:hAnsi="宋体"/>
          <w:bCs/>
          <w:color w:val="auto"/>
          <w:highlight w:val="none"/>
          <w:lang w:val="en-US" w:eastAsia="zh-CN"/>
        </w:rPr>
        <w:t>6.3</w:t>
      </w:r>
      <w:r>
        <w:rPr>
          <w:rFonts w:hint="eastAsia" w:ascii="宋体" w:hAnsi="宋体"/>
          <w:bCs/>
          <w:color w:val="auto"/>
          <w:highlight w:val="none"/>
        </w:rPr>
        <w:t xml:space="preserve"> </w:t>
      </w:r>
      <w:r>
        <w:rPr>
          <w:rFonts w:hint="eastAsia" w:hAnsi="宋体"/>
          <w:bCs/>
          <w:color w:val="auto"/>
          <w:highlight w:val="none"/>
          <w:lang w:val="en-US" w:eastAsia="zh-CN"/>
        </w:rPr>
        <w:t>评标委员会</w:t>
      </w:r>
      <w:r>
        <w:rPr>
          <w:rFonts w:hint="eastAsia" w:ascii="宋体" w:hAnsi="宋体"/>
          <w:bCs/>
          <w:color w:val="auto"/>
          <w:highlight w:val="none"/>
        </w:rPr>
        <w:t>对</w:t>
      </w:r>
      <w:r>
        <w:rPr>
          <w:rFonts w:hint="eastAsia" w:hAnsi="宋体"/>
          <w:bCs/>
          <w:color w:val="auto"/>
          <w:highlight w:val="none"/>
          <w:lang w:val="en-US" w:eastAsia="zh-CN"/>
        </w:rPr>
        <w:t>投标人</w:t>
      </w:r>
      <w:r>
        <w:rPr>
          <w:rFonts w:hint="eastAsia" w:ascii="宋体" w:hAnsi="宋体"/>
          <w:bCs/>
          <w:color w:val="auto"/>
          <w:highlight w:val="none"/>
        </w:rPr>
        <w:t>提交的澄清、说明或补正有疑问的，可以要求</w:t>
      </w:r>
      <w:r>
        <w:rPr>
          <w:rFonts w:hint="eastAsia" w:hAnsi="宋体"/>
          <w:bCs/>
          <w:color w:val="auto"/>
          <w:highlight w:val="none"/>
          <w:lang w:eastAsia="zh-CN"/>
        </w:rPr>
        <w:t>投标人</w:t>
      </w:r>
      <w:r>
        <w:rPr>
          <w:rFonts w:hint="eastAsia" w:hAnsi="宋体"/>
          <w:bCs/>
          <w:color w:val="auto"/>
          <w:highlight w:val="none"/>
          <w:lang w:val="en-US" w:eastAsia="zh-CN"/>
        </w:rPr>
        <w:t>投标人</w:t>
      </w:r>
      <w:r>
        <w:rPr>
          <w:rFonts w:hint="eastAsia" w:ascii="宋体" w:hAnsi="宋体"/>
          <w:bCs/>
          <w:color w:val="auto"/>
          <w:highlight w:val="none"/>
        </w:rPr>
        <w:t>进一步澄清、说明或补正，直至满足</w:t>
      </w:r>
      <w:r>
        <w:rPr>
          <w:rFonts w:hint="eastAsia" w:hAnsi="宋体"/>
          <w:bCs/>
          <w:color w:val="auto"/>
          <w:highlight w:val="none"/>
          <w:lang w:val="en-US" w:eastAsia="zh-CN"/>
        </w:rPr>
        <w:t>评标委员会</w:t>
      </w:r>
      <w:r>
        <w:rPr>
          <w:rFonts w:hint="eastAsia" w:ascii="宋体" w:hAnsi="宋体"/>
          <w:bCs/>
          <w:color w:val="auto"/>
          <w:highlight w:val="none"/>
        </w:rPr>
        <w:t>的要求。</w:t>
      </w:r>
    </w:p>
    <w:p w14:paraId="2E59E800">
      <w:pPr>
        <w:spacing w:line="360" w:lineRule="auto"/>
        <w:rPr>
          <w:rFonts w:hint="eastAsia" w:ascii="宋体" w:hAnsi="宋体"/>
          <w:b/>
          <w:color w:val="auto"/>
          <w:highlight w:val="none"/>
        </w:rPr>
      </w:pPr>
      <w:r>
        <w:rPr>
          <w:rFonts w:hint="eastAsia" w:ascii="宋体" w:hAnsi="宋体"/>
          <w:b/>
          <w:color w:val="auto"/>
          <w:highlight w:val="none"/>
          <w:lang w:val="en-US" w:eastAsia="zh-CN"/>
        </w:rPr>
        <w:t>7、</w:t>
      </w:r>
      <w:r>
        <w:rPr>
          <w:rFonts w:hint="eastAsia" w:ascii="宋体" w:hAnsi="宋体"/>
          <w:b/>
          <w:color w:val="auto"/>
          <w:highlight w:val="none"/>
        </w:rPr>
        <w:t xml:space="preserve"> 评审结果</w:t>
      </w:r>
    </w:p>
    <w:p w14:paraId="2A84262C">
      <w:pPr>
        <w:spacing w:line="360" w:lineRule="auto"/>
        <w:ind w:firstLine="420" w:firstLineChars="200"/>
        <w:rPr>
          <w:rFonts w:hint="eastAsia" w:ascii="宋体" w:hAnsi="宋体"/>
          <w:bCs/>
          <w:color w:val="auto"/>
          <w:highlight w:val="none"/>
        </w:rPr>
      </w:pPr>
      <w:r>
        <w:rPr>
          <w:rFonts w:hint="eastAsia" w:ascii="宋体" w:hAnsi="宋体"/>
          <w:bCs/>
          <w:color w:val="auto"/>
          <w:highlight w:val="none"/>
          <w:lang w:val="en-US" w:eastAsia="zh-CN"/>
        </w:rPr>
        <w:t>7.1</w:t>
      </w:r>
      <w:r>
        <w:rPr>
          <w:rFonts w:hint="eastAsia" w:ascii="宋体" w:hAnsi="宋体"/>
          <w:bCs/>
          <w:color w:val="auto"/>
          <w:highlight w:val="none"/>
        </w:rPr>
        <w:t>除第二章“</w:t>
      </w:r>
      <w:r>
        <w:rPr>
          <w:rFonts w:hint="eastAsia" w:hAnsi="宋体"/>
          <w:bCs/>
          <w:color w:val="auto"/>
          <w:highlight w:val="none"/>
          <w:lang w:eastAsia="zh-CN"/>
        </w:rPr>
        <w:t>投标人</w:t>
      </w:r>
      <w:r>
        <w:rPr>
          <w:rFonts w:hint="eastAsia" w:ascii="宋体" w:hAnsi="宋体"/>
          <w:bCs/>
          <w:color w:val="auto"/>
          <w:highlight w:val="none"/>
        </w:rPr>
        <w:t>须知”前附表授权直接确定</w:t>
      </w:r>
      <w:r>
        <w:rPr>
          <w:rFonts w:hint="eastAsia" w:hAnsi="宋体"/>
          <w:bCs/>
          <w:color w:val="auto"/>
          <w:highlight w:val="none"/>
          <w:lang w:val="en-US" w:eastAsia="zh-CN"/>
        </w:rPr>
        <w:t>中标人</w:t>
      </w:r>
      <w:r>
        <w:rPr>
          <w:rFonts w:hint="eastAsia" w:ascii="宋体" w:hAnsi="宋体"/>
          <w:bCs/>
          <w:color w:val="auto"/>
          <w:highlight w:val="none"/>
        </w:rPr>
        <w:t>外，</w:t>
      </w:r>
      <w:r>
        <w:rPr>
          <w:rFonts w:hint="eastAsia" w:hAnsi="宋体"/>
          <w:bCs/>
          <w:color w:val="auto"/>
          <w:highlight w:val="none"/>
          <w:lang w:val="en-US" w:eastAsia="zh-CN"/>
        </w:rPr>
        <w:t>评标委员会</w:t>
      </w:r>
      <w:r>
        <w:rPr>
          <w:rFonts w:hint="eastAsia" w:ascii="宋体" w:hAnsi="宋体"/>
          <w:bCs/>
          <w:color w:val="auto"/>
          <w:highlight w:val="none"/>
        </w:rPr>
        <w:t>按照得分由高到低的顺序推荐</w:t>
      </w:r>
      <w:r>
        <w:rPr>
          <w:rFonts w:hint="eastAsia" w:hAnsi="宋体"/>
          <w:bCs/>
          <w:color w:val="auto"/>
          <w:highlight w:val="none"/>
          <w:lang w:val="en-US" w:eastAsia="zh-CN"/>
        </w:rPr>
        <w:t>中标</w:t>
      </w:r>
      <w:r>
        <w:rPr>
          <w:rFonts w:hint="eastAsia" w:ascii="宋体" w:hAnsi="宋体"/>
          <w:bCs/>
          <w:color w:val="auto"/>
          <w:highlight w:val="none"/>
        </w:rPr>
        <w:t>候选人。</w:t>
      </w:r>
    </w:p>
    <w:p w14:paraId="16D53F7D">
      <w:pPr>
        <w:spacing w:line="360" w:lineRule="auto"/>
        <w:ind w:firstLine="420" w:firstLineChars="200"/>
        <w:rPr>
          <w:rFonts w:hint="eastAsia" w:ascii="宋体" w:hAnsi="宋体"/>
          <w:bCs/>
          <w:color w:val="auto"/>
          <w:highlight w:val="none"/>
        </w:rPr>
      </w:pPr>
      <w:r>
        <w:rPr>
          <w:rFonts w:hint="eastAsia" w:ascii="宋体" w:hAnsi="宋体"/>
          <w:bCs/>
          <w:color w:val="auto"/>
          <w:highlight w:val="none"/>
          <w:lang w:val="en-US" w:eastAsia="zh-CN"/>
        </w:rPr>
        <w:t>7.2</w:t>
      </w:r>
      <w:r>
        <w:rPr>
          <w:rFonts w:hint="eastAsia" w:ascii="宋体" w:hAnsi="宋体"/>
          <w:bCs/>
          <w:color w:val="auto"/>
          <w:highlight w:val="none"/>
        </w:rPr>
        <w:t xml:space="preserve"> </w:t>
      </w:r>
      <w:r>
        <w:rPr>
          <w:rFonts w:hint="eastAsia" w:hAnsi="宋体"/>
          <w:bCs/>
          <w:color w:val="auto"/>
          <w:highlight w:val="none"/>
          <w:lang w:val="en-US" w:eastAsia="zh-CN"/>
        </w:rPr>
        <w:t>评标委员会</w:t>
      </w:r>
      <w:r>
        <w:rPr>
          <w:rFonts w:hint="eastAsia" w:ascii="宋体" w:hAnsi="宋体"/>
          <w:bCs/>
          <w:color w:val="auto"/>
          <w:highlight w:val="none"/>
        </w:rPr>
        <w:t>完成评审后，应当向招标人提交书面评审报告。</w:t>
      </w:r>
    </w:p>
    <w:p w14:paraId="136BB7A4">
      <w:pPr>
        <w:spacing w:line="360" w:lineRule="auto"/>
        <w:ind w:firstLine="420" w:firstLineChars="200"/>
        <w:rPr>
          <w:color w:val="auto"/>
          <w:kern w:val="44"/>
          <w:highlight w:val="none"/>
        </w:rPr>
        <w:sectPr>
          <w:pgSz w:w="11905" w:h="16838"/>
          <w:pgMar w:top="1440" w:right="1803" w:bottom="1440" w:left="1803" w:header="850" w:footer="850" w:gutter="0"/>
          <w:pgNumType w:fmt="decimal"/>
          <w:cols w:space="0" w:num="1"/>
          <w:rtlGutter w:val="0"/>
          <w:docGrid w:linePitch="490" w:charSpace="0"/>
        </w:sectPr>
      </w:pPr>
      <w:r>
        <w:rPr>
          <w:rFonts w:hint="eastAsia" w:ascii="宋体" w:hAnsi="宋体"/>
          <w:bCs/>
          <w:color w:val="auto"/>
          <w:highlight w:val="none"/>
          <w:lang w:val="en-US" w:eastAsia="zh-CN"/>
        </w:rPr>
        <w:t>7.3</w:t>
      </w:r>
      <w:r>
        <w:rPr>
          <w:rFonts w:hint="eastAsia" w:ascii="宋体" w:hAnsi="宋体"/>
          <w:bCs/>
          <w:color w:val="auto"/>
          <w:highlight w:val="none"/>
        </w:rPr>
        <w:t xml:space="preserve"> 排名第一的</w:t>
      </w:r>
      <w:r>
        <w:rPr>
          <w:rFonts w:hint="eastAsia" w:hAnsi="宋体"/>
          <w:bCs/>
          <w:color w:val="auto"/>
          <w:highlight w:val="none"/>
          <w:lang w:eastAsia="zh-CN"/>
        </w:rPr>
        <w:t>中标候选人</w:t>
      </w:r>
      <w:r>
        <w:rPr>
          <w:rFonts w:hint="eastAsia" w:ascii="宋体" w:hAnsi="宋体"/>
          <w:bCs/>
          <w:color w:val="auto"/>
          <w:highlight w:val="none"/>
        </w:rPr>
        <w:t>放弃</w:t>
      </w:r>
      <w:r>
        <w:rPr>
          <w:rFonts w:hint="eastAsia" w:hAnsi="宋体"/>
          <w:bCs/>
          <w:color w:val="auto"/>
          <w:highlight w:val="none"/>
          <w:lang w:eastAsia="zh-CN"/>
        </w:rPr>
        <w:t>中标</w:t>
      </w:r>
      <w:r>
        <w:rPr>
          <w:rFonts w:hint="eastAsia" w:ascii="宋体" w:hAnsi="宋体"/>
          <w:bCs/>
          <w:color w:val="auto"/>
          <w:highlight w:val="none"/>
        </w:rPr>
        <w:t>资格、因不可抗力不能履行合同，</w:t>
      </w:r>
      <w:r>
        <w:rPr>
          <w:rFonts w:hint="eastAsia" w:hAnsi="宋体"/>
          <w:bCs/>
          <w:color w:val="auto"/>
          <w:highlight w:val="none"/>
          <w:lang w:val="en-US" w:eastAsia="zh-CN"/>
        </w:rPr>
        <w:t>投标</w:t>
      </w:r>
      <w:r>
        <w:rPr>
          <w:rFonts w:hint="eastAsia" w:ascii="宋体" w:hAnsi="宋体"/>
          <w:bCs/>
          <w:color w:val="auto"/>
          <w:highlight w:val="none"/>
        </w:rPr>
        <w:t>文件提供虚假信息，或者被查实存在影响</w:t>
      </w:r>
      <w:r>
        <w:rPr>
          <w:rFonts w:hint="eastAsia" w:hAnsi="宋体"/>
          <w:bCs/>
          <w:color w:val="auto"/>
          <w:highlight w:val="none"/>
          <w:lang w:val="en-US" w:eastAsia="zh-CN"/>
        </w:rPr>
        <w:t>中标</w:t>
      </w:r>
      <w:r>
        <w:rPr>
          <w:rFonts w:hint="eastAsia" w:ascii="宋体" w:hAnsi="宋体"/>
          <w:bCs/>
          <w:color w:val="auto"/>
          <w:highlight w:val="none"/>
        </w:rPr>
        <w:t>结果的违法行为等情形，不符合</w:t>
      </w:r>
      <w:r>
        <w:rPr>
          <w:rFonts w:hint="eastAsia" w:hAnsi="宋体"/>
          <w:bCs/>
          <w:color w:val="auto"/>
          <w:highlight w:val="none"/>
          <w:lang w:val="en-US" w:eastAsia="zh-CN"/>
        </w:rPr>
        <w:t>中标</w:t>
      </w:r>
      <w:r>
        <w:rPr>
          <w:rFonts w:hint="eastAsia" w:ascii="宋体" w:hAnsi="宋体"/>
          <w:bCs/>
          <w:color w:val="auto"/>
          <w:highlight w:val="none"/>
        </w:rPr>
        <w:t>条件的，采购人可以按照</w:t>
      </w:r>
      <w:r>
        <w:rPr>
          <w:rFonts w:hint="eastAsia" w:hAnsi="宋体"/>
          <w:bCs/>
          <w:color w:val="auto"/>
          <w:highlight w:val="none"/>
          <w:lang w:val="en-US" w:eastAsia="zh-CN"/>
        </w:rPr>
        <w:t>评标委员会</w:t>
      </w:r>
      <w:r>
        <w:rPr>
          <w:rFonts w:hint="eastAsia" w:ascii="宋体" w:hAnsi="宋体"/>
          <w:bCs/>
          <w:color w:val="auto"/>
          <w:highlight w:val="none"/>
        </w:rPr>
        <w:t>提出的</w:t>
      </w:r>
      <w:r>
        <w:rPr>
          <w:rFonts w:hint="eastAsia" w:hAnsi="宋体"/>
          <w:bCs/>
          <w:color w:val="auto"/>
          <w:highlight w:val="none"/>
          <w:lang w:val="en-US" w:eastAsia="zh-CN"/>
        </w:rPr>
        <w:t>中标</w:t>
      </w:r>
      <w:r>
        <w:rPr>
          <w:rFonts w:hint="eastAsia" w:ascii="宋体" w:hAnsi="宋体"/>
          <w:bCs/>
          <w:color w:val="auto"/>
          <w:highlight w:val="none"/>
        </w:rPr>
        <w:t>候选人名单排序依次确定其他</w:t>
      </w:r>
      <w:r>
        <w:rPr>
          <w:rFonts w:hint="eastAsia" w:hAnsi="宋体"/>
          <w:bCs/>
          <w:color w:val="auto"/>
          <w:highlight w:val="none"/>
          <w:lang w:val="en-US" w:eastAsia="zh-CN"/>
        </w:rPr>
        <w:t>中标</w:t>
      </w:r>
      <w:r>
        <w:rPr>
          <w:rFonts w:hint="eastAsia" w:ascii="宋体" w:hAnsi="宋体"/>
          <w:bCs/>
          <w:color w:val="auto"/>
          <w:highlight w:val="none"/>
        </w:rPr>
        <w:t>候选人为</w:t>
      </w:r>
      <w:r>
        <w:rPr>
          <w:rFonts w:hint="eastAsia" w:hAnsi="宋体"/>
          <w:bCs/>
          <w:color w:val="auto"/>
          <w:highlight w:val="none"/>
          <w:lang w:val="en-US" w:eastAsia="zh-CN"/>
        </w:rPr>
        <w:t>中标人</w:t>
      </w:r>
      <w:r>
        <w:rPr>
          <w:rFonts w:hint="eastAsia" w:ascii="宋体" w:hAnsi="宋体"/>
          <w:bCs/>
          <w:color w:val="auto"/>
          <w:highlight w:val="none"/>
        </w:rPr>
        <w:t>，也可以重新采购。</w:t>
      </w:r>
    </w:p>
    <w:p w14:paraId="0412CED1">
      <w:pPr>
        <w:pStyle w:val="2"/>
        <w:rPr>
          <w:rFonts w:hint="eastAsia"/>
          <w:color w:val="auto"/>
          <w:highlight w:val="none"/>
        </w:rPr>
      </w:pPr>
      <w:bookmarkStart w:id="127" w:name="_Toc27012"/>
      <w:bookmarkStart w:id="128" w:name="_Toc27840"/>
      <w:r>
        <w:rPr>
          <w:rFonts w:hint="eastAsia"/>
          <w:color w:val="auto"/>
          <w:highlight w:val="none"/>
        </w:rPr>
        <w:t>第四章 合同条款及格式</w:t>
      </w:r>
      <w:bookmarkEnd w:id="126"/>
      <w:bookmarkEnd w:id="127"/>
      <w:bookmarkEnd w:id="128"/>
    </w:p>
    <w:p w14:paraId="58F2E5CB">
      <w:pPr>
        <w:ind w:firstLine="420"/>
        <w:rPr>
          <w:rFonts w:hint="eastAsia"/>
          <w:color w:val="auto"/>
          <w:highlight w:val="none"/>
        </w:rPr>
      </w:pPr>
    </w:p>
    <w:p w14:paraId="1F216875">
      <w:pPr>
        <w:ind w:firstLine="420"/>
        <w:rPr>
          <w:color w:val="auto"/>
          <w:highlight w:val="none"/>
        </w:rPr>
      </w:pPr>
      <w:r>
        <w:rPr>
          <w:rFonts w:hint="eastAsia"/>
          <w:color w:val="auto"/>
          <w:highlight w:val="none"/>
        </w:rPr>
        <w:t>以采购人与</w:t>
      </w:r>
      <w:r>
        <w:rPr>
          <w:rFonts w:hint="eastAsia"/>
          <w:color w:val="auto"/>
          <w:highlight w:val="none"/>
          <w:lang w:eastAsia="zh-CN"/>
        </w:rPr>
        <w:t>中标人</w:t>
      </w:r>
      <w:r>
        <w:rPr>
          <w:rFonts w:hint="eastAsia"/>
          <w:color w:val="auto"/>
          <w:highlight w:val="none"/>
        </w:rPr>
        <w:t>实际签订的合同为准。</w:t>
      </w:r>
    </w:p>
    <w:p w14:paraId="1D3E4947">
      <w:pPr>
        <w:ind w:firstLine="422"/>
        <w:rPr>
          <w:rFonts w:hAnsi="宋体" w:cs="宋体"/>
          <w:b/>
          <w:bCs/>
          <w:color w:val="auto"/>
          <w:highlight w:val="none"/>
          <w:lang w:val="zh-CN"/>
        </w:rPr>
      </w:pPr>
    </w:p>
    <w:p w14:paraId="6ABD7B5D">
      <w:pPr>
        <w:ind w:firstLine="420"/>
        <w:rPr>
          <w:rFonts w:hAnsi="宋体" w:cs="宋体"/>
          <w:color w:val="auto"/>
          <w:highlight w:val="none"/>
        </w:rPr>
        <w:sectPr>
          <w:pgSz w:w="11905" w:h="16838"/>
          <w:pgMar w:top="1440" w:right="1803" w:bottom="1440" w:left="1803" w:header="850" w:footer="850" w:gutter="0"/>
          <w:pgNumType w:fmt="decimal"/>
          <w:cols w:space="0" w:num="1"/>
          <w:rtlGutter w:val="0"/>
          <w:docGrid w:linePitch="490" w:charSpace="0"/>
        </w:sectPr>
      </w:pPr>
    </w:p>
    <w:p w14:paraId="3B056B6F">
      <w:pPr>
        <w:pStyle w:val="2"/>
        <w:rPr>
          <w:rFonts w:hint="eastAsia"/>
          <w:color w:val="auto"/>
          <w:highlight w:val="none"/>
        </w:rPr>
      </w:pPr>
      <w:bookmarkStart w:id="129" w:name="_Toc15724"/>
      <w:r>
        <w:rPr>
          <w:rFonts w:hint="eastAsia"/>
          <w:color w:val="auto"/>
          <w:highlight w:val="none"/>
          <w:lang w:val="en-US" w:eastAsia="zh-CN"/>
        </w:rPr>
        <w:t xml:space="preserve">第五章 </w:t>
      </w:r>
      <w:r>
        <w:rPr>
          <w:rFonts w:hint="eastAsia"/>
          <w:color w:val="auto"/>
          <w:highlight w:val="none"/>
        </w:rPr>
        <w:t>采购需求</w:t>
      </w:r>
      <w:bookmarkEnd w:id="129"/>
    </w:p>
    <w:p w14:paraId="02971697">
      <w:pPr>
        <w:ind w:left="0" w:leftChars="0" w:firstLine="0" w:firstLineChars="0"/>
        <w:rPr>
          <w:rFonts w:hint="default" w:eastAsia="宋体"/>
          <w:b/>
          <w:bCs/>
          <w:color w:val="auto"/>
          <w:highlight w:val="none"/>
          <w:lang w:val="en-US" w:eastAsia="zh-CN"/>
        </w:rPr>
      </w:pPr>
      <w:r>
        <w:rPr>
          <w:rFonts w:hint="eastAsia"/>
          <w:b/>
          <w:bCs/>
          <w:color w:val="auto"/>
          <w:highlight w:val="none"/>
          <w:lang w:val="en-US" w:eastAsia="zh-CN"/>
        </w:rPr>
        <w:t>一、采购数量及价格</w:t>
      </w:r>
    </w:p>
    <w:p w14:paraId="53A136A3">
      <w:pPr>
        <w:rPr>
          <w:color w:val="auto"/>
          <w:highlight w:val="none"/>
        </w:rPr>
      </w:pPr>
      <w:r>
        <w:rPr>
          <w:color w:val="auto"/>
          <w:highlight w:val="none"/>
        </w:rPr>
        <w:drawing>
          <wp:inline distT="0" distB="0" distL="114300" distR="114300">
            <wp:extent cx="4933950" cy="5915025"/>
            <wp:effectExtent l="0" t="0" r="0"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2"/>
                    <a:stretch>
                      <a:fillRect/>
                    </a:stretch>
                  </pic:blipFill>
                  <pic:spPr>
                    <a:xfrm>
                      <a:off x="0" y="0"/>
                      <a:ext cx="4933950" cy="5915025"/>
                    </a:xfrm>
                    <a:prstGeom prst="rect">
                      <a:avLst/>
                    </a:prstGeom>
                    <a:noFill/>
                    <a:ln>
                      <a:noFill/>
                    </a:ln>
                  </pic:spPr>
                </pic:pic>
              </a:graphicData>
            </a:graphic>
          </wp:inline>
        </w:drawing>
      </w:r>
    </w:p>
    <w:p w14:paraId="48A6519D">
      <w:pPr>
        <w:spacing w:line="480" w:lineRule="auto"/>
        <w:ind w:left="0" w:leftChars="0" w:firstLine="0" w:firstLineChars="0"/>
        <w:rPr>
          <w:rFonts w:hint="eastAsia"/>
          <w:b/>
          <w:bCs/>
          <w:color w:val="auto"/>
          <w:highlight w:val="none"/>
          <w:lang w:val="en-US" w:eastAsia="zh-CN"/>
        </w:rPr>
      </w:pPr>
      <w:r>
        <w:rPr>
          <w:rFonts w:hint="eastAsia"/>
          <w:b/>
          <w:bCs/>
          <w:color w:val="auto"/>
          <w:highlight w:val="none"/>
          <w:lang w:val="en-US" w:eastAsia="zh-CN"/>
        </w:rPr>
        <w:t>预计采购量约1570.25吨（以实际订单结算），投标报价为单价（元/吨），结算按实际供货量（吨）×中标单价（元）</w:t>
      </w:r>
    </w:p>
    <w:p w14:paraId="57575A76">
      <w:pPr>
        <w:rPr>
          <w:color w:val="auto"/>
          <w:highlight w:val="none"/>
        </w:rPr>
        <w:sectPr>
          <w:pgSz w:w="11906" w:h="16838"/>
          <w:pgMar w:top="1440" w:right="1800" w:bottom="1440" w:left="1800" w:header="851" w:footer="992" w:gutter="0"/>
          <w:cols w:space="425" w:num="1"/>
          <w:docGrid w:type="lines" w:linePitch="312" w:charSpace="0"/>
        </w:sectPr>
      </w:pPr>
    </w:p>
    <w:p w14:paraId="05A0BEA9">
      <w:pPr>
        <w:spacing w:line="480" w:lineRule="auto"/>
        <w:ind w:left="0" w:leftChars="0" w:firstLine="0" w:firstLineChars="0"/>
        <w:rPr>
          <w:rFonts w:hint="eastAsia"/>
          <w:b/>
          <w:bCs/>
          <w:color w:val="auto"/>
          <w:highlight w:val="none"/>
          <w:lang w:val="en-US" w:eastAsia="zh-CN"/>
        </w:rPr>
      </w:pPr>
      <w:r>
        <w:rPr>
          <w:rFonts w:hint="eastAsia"/>
          <w:b/>
          <w:bCs/>
          <w:color w:val="auto"/>
          <w:highlight w:val="none"/>
          <w:lang w:val="en-US" w:eastAsia="zh-CN"/>
        </w:rPr>
        <w:t>二、参数要求</w:t>
      </w:r>
    </w:p>
    <w:p w14:paraId="3C175B88">
      <w:pPr>
        <w:spacing w:line="480" w:lineRule="auto"/>
        <w:ind w:left="0" w:leftChars="0" w:firstLine="0" w:firstLineChars="0"/>
        <w:rPr>
          <w:rFonts w:hint="default" w:ascii="宋体" w:hAnsi="Times New Roman" w:eastAsia="宋体" w:cs="Times New Roman"/>
          <w:color w:val="auto"/>
          <w:highlight w:val="none"/>
          <w:lang w:val="en-US" w:eastAsia="zh-CN"/>
        </w:rPr>
      </w:pPr>
      <w:r>
        <w:rPr>
          <w:rFonts w:hint="eastAsia" w:ascii="宋体" w:hAnsi="Times New Roman" w:eastAsia="宋体" w:cs="Times New Roman"/>
          <w:color w:val="auto"/>
          <w:highlight w:val="none"/>
          <w:lang w:val="en-US" w:eastAsia="zh-CN"/>
        </w:rPr>
        <w:t>1、干燥基灰分Ad</w:t>
      </w:r>
      <w:r>
        <w:rPr>
          <w:rFonts w:hint="default" w:ascii="宋体" w:hAnsi="Times New Roman" w:eastAsia="宋体" w:cs="Times New Roman"/>
          <w:color w:val="auto"/>
          <w:highlight w:val="none"/>
          <w:lang w:val="en-US" w:eastAsia="zh-CN"/>
        </w:rPr>
        <w:t>＜</w:t>
      </w:r>
      <w:r>
        <w:rPr>
          <w:rFonts w:hint="eastAsia" w:cs="Times New Roman"/>
          <w:color w:val="auto"/>
          <w:highlight w:val="none"/>
          <w:lang w:val="en-US" w:eastAsia="zh-CN"/>
        </w:rPr>
        <w:t>2</w:t>
      </w:r>
      <w:r>
        <w:rPr>
          <w:rFonts w:hint="eastAsia" w:ascii="宋体" w:hAnsi="Times New Roman" w:eastAsia="宋体" w:cs="Times New Roman"/>
          <w:color w:val="auto"/>
          <w:highlight w:val="none"/>
          <w:lang w:val="en-US" w:eastAsia="zh-CN"/>
        </w:rPr>
        <w:t>%</w:t>
      </w:r>
    </w:p>
    <w:p w14:paraId="29955AB3">
      <w:pPr>
        <w:spacing w:line="480" w:lineRule="auto"/>
        <w:ind w:left="0" w:leftChars="0" w:firstLine="0" w:firstLineChars="0"/>
        <w:rPr>
          <w:rFonts w:hint="default" w:ascii="宋体" w:hAnsi="Times New Roman" w:eastAsia="宋体" w:cs="Times New Roman"/>
          <w:color w:val="auto"/>
          <w:highlight w:val="none"/>
          <w:lang w:val="en-US" w:eastAsia="zh-CN"/>
        </w:rPr>
      </w:pPr>
      <w:r>
        <w:rPr>
          <w:rFonts w:hint="eastAsia" w:ascii="宋体" w:hAnsi="Times New Roman" w:eastAsia="宋体" w:cs="Times New Roman"/>
          <w:color w:val="auto"/>
          <w:highlight w:val="none"/>
          <w:lang w:val="en-US" w:eastAsia="zh-CN"/>
        </w:rPr>
        <w:t>2、全水分Mt</w:t>
      </w:r>
      <w:r>
        <w:rPr>
          <w:rFonts w:hint="default" w:ascii="宋体" w:hAnsi="Times New Roman" w:eastAsia="宋体" w:cs="Times New Roman"/>
          <w:color w:val="auto"/>
          <w:highlight w:val="none"/>
          <w:lang w:val="en-US" w:eastAsia="zh-CN"/>
        </w:rPr>
        <w:t>＜8</w:t>
      </w:r>
      <w:r>
        <w:rPr>
          <w:rFonts w:hint="eastAsia" w:ascii="宋体" w:hAnsi="Times New Roman" w:eastAsia="宋体" w:cs="Times New Roman"/>
          <w:color w:val="auto"/>
          <w:highlight w:val="none"/>
          <w:lang w:val="en-US" w:eastAsia="zh-CN"/>
        </w:rPr>
        <w:t>%</w:t>
      </w:r>
    </w:p>
    <w:p w14:paraId="1EEE8204">
      <w:pPr>
        <w:spacing w:line="480" w:lineRule="auto"/>
        <w:ind w:left="0" w:leftChars="0" w:firstLine="0" w:firstLineChars="0"/>
        <w:rPr>
          <w:rFonts w:hint="default" w:ascii="宋体" w:hAnsi="Times New Roman" w:eastAsia="宋体" w:cs="Times New Roman"/>
          <w:color w:val="auto"/>
          <w:highlight w:val="none"/>
          <w:lang w:val="en-US" w:eastAsia="zh-CN"/>
        </w:rPr>
      </w:pPr>
      <w:r>
        <w:rPr>
          <w:rFonts w:hint="eastAsia" w:ascii="宋体" w:hAnsi="Times New Roman" w:eastAsia="宋体" w:cs="Times New Roman"/>
          <w:color w:val="auto"/>
          <w:highlight w:val="none"/>
          <w:lang w:val="en-US" w:eastAsia="zh-CN"/>
        </w:rPr>
        <w:t>3、颗粒</w:t>
      </w:r>
      <w:r>
        <w:rPr>
          <w:rFonts w:hint="default" w:ascii="宋体" w:hAnsi="Times New Roman" w:eastAsia="宋体" w:cs="Times New Roman"/>
          <w:color w:val="auto"/>
          <w:highlight w:val="none"/>
          <w:lang w:val="en-US" w:eastAsia="zh-CN"/>
        </w:rPr>
        <w:t>规格</w:t>
      </w:r>
      <w:r>
        <w:rPr>
          <w:rFonts w:hint="eastAsia" w:ascii="宋体" w:hAnsi="Times New Roman" w:eastAsia="宋体" w:cs="Times New Roman"/>
          <w:color w:val="auto"/>
          <w:highlight w:val="none"/>
          <w:lang w:val="en-US" w:eastAsia="zh-CN"/>
        </w:rPr>
        <w:t>：</w:t>
      </w:r>
      <w:r>
        <w:rPr>
          <w:rFonts w:hint="default" w:ascii="宋体" w:hAnsi="Times New Roman" w:eastAsia="宋体" w:cs="Times New Roman"/>
          <w:color w:val="auto"/>
          <w:highlight w:val="none"/>
          <w:lang w:val="en-US" w:eastAsia="zh-CN"/>
        </w:rPr>
        <w:t>8㎜</w:t>
      </w:r>
    </w:p>
    <w:p w14:paraId="08DDC31A">
      <w:pPr>
        <w:spacing w:line="480" w:lineRule="auto"/>
        <w:ind w:left="0" w:leftChars="0" w:firstLine="0" w:firstLineChars="0"/>
        <w:rPr>
          <w:rFonts w:hint="default" w:ascii="宋体" w:hAnsi="Times New Roman" w:eastAsia="宋体" w:cs="Times New Roman"/>
          <w:color w:val="auto"/>
          <w:highlight w:val="none"/>
          <w:lang w:val="en-US" w:eastAsia="zh-CN"/>
        </w:rPr>
      </w:pPr>
      <w:r>
        <w:rPr>
          <w:rFonts w:hint="eastAsia" w:ascii="宋体" w:hAnsi="Times New Roman" w:eastAsia="宋体" w:cs="Times New Roman"/>
          <w:color w:val="auto"/>
          <w:highlight w:val="none"/>
          <w:lang w:val="en-US" w:eastAsia="zh-CN"/>
        </w:rPr>
        <w:t>4、</w:t>
      </w:r>
      <w:r>
        <w:rPr>
          <w:rFonts w:hint="default" w:ascii="宋体" w:hAnsi="Times New Roman" w:eastAsia="宋体" w:cs="Times New Roman"/>
          <w:color w:val="auto"/>
          <w:highlight w:val="none"/>
          <w:lang w:val="en-US" w:eastAsia="zh-CN"/>
        </w:rPr>
        <w:t>长度</w:t>
      </w:r>
      <w:r>
        <w:rPr>
          <w:rFonts w:hint="eastAsia" w:cs="Times New Roman"/>
          <w:color w:val="auto"/>
          <w:highlight w:val="none"/>
          <w:lang w:val="en-US" w:eastAsia="zh-CN"/>
        </w:rPr>
        <w:t>≥10mm</w:t>
      </w:r>
    </w:p>
    <w:p w14:paraId="4C10A617">
      <w:pPr>
        <w:spacing w:line="480" w:lineRule="auto"/>
        <w:ind w:left="0" w:leftChars="0" w:firstLine="0" w:firstLineChars="0"/>
        <w:rPr>
          <w:rFonts w:hint="default" w:ascii="宋体" w:hAnsi="Times New Roman" w:eastAsia="宋体" w:cs="Times New Roman"/>
          <w:color w:val="auto"/>
          <w:highlight w:val="none"/>
          <w:lang w:val="en-US" w:eastAsia="zh-CN"/>
        </w:rPr>
      </w:pPr>
      <w:r>
        <w:rPr>
          <w:rFonts w:hint="eastAsia" w:ascii="宋体" w:hAnsi="Times New Roman" w:eastAsia="宋体" w:cs="Times New Roman"/>
          <w:color w:val="auto"/>
          <w:highlight w:val="none"/>
          <w:lang w:val="en-US" w:eastAsia="zh-CN"/>
        </w:rPr>
        <w:t>5、干基高位发热量(</w:t>
      </w:r>
      <w:r>
        <w:rPr>
          <w:rFonts w:ascii="宋体" w:hAnsi="宋体" w:eastAsia="宋体" w:cs="宋体"/>
          <w:color w:val="auto"/>
          <w:sz w:val="24"/>
          <w:szCs w:val="24"/>
          <w:highlight w:val="none"/>
        </w:rPr>
        <w:t>kcal/kg</w:t>
      </w:r>
      <w:r>
        <w:rPr>
          <w:rFonts w:hint="eastAsia" w:ascii="宋体" w:hAnsi="Times New Roman" w:eastAsia="宋体" w:cs="Times New Roman"/>
          <w:color w:val="auto"/>
          <w:highlight w:val="none"/>
          <w:lang w:val="en-US" w:eastAsia="zh-CN"/>
        </w:rPr>
        <w:t>)Qgr,d</w:t>
      </w:r>
      <w:r>
        <w:rPr>
          <w:rFonts w:hint="default" w:ascii="宋体" w:hAnsi="Times New Roman" w:eastAsia="宋体" w:cs="Times New Roman"/>
          <w:color w:val="auto"/>
          <w:highlight w:val="none"/>
          <w:lang w:val="en-US" w:eastAsia="zh-CN"/>
        </w:rPr>
        <w:t>≥4</w:t>
      </w:r>
      <w:r>
        <w:rPr>
          <w:rFonts w:hint="eastAsia" w:cs="Times New Roman"/>
          <w:color w:val="auto"/>
          <w:highlight w:val="none"/>
          <w:lang w:val="en-US" w:eastAsia="zh-CN"/>
        </w:rPr>
        <w:t>4</w:t>
      </w:r>
      <w:r>
        <w:rPr>
          <w:rFonts w:hint="default" w:ascii="宋体" w:hAnsi="Times New Roman" w:eastAsia="宋体" w:cs="Times New Roman"/>
          <w:color w:val="auto"/>
          <w:highlight w:val="none"/>
          <w:lang w:val="en-US" w:eastAsia="zh-CN"/>
        </w:rPr>
        <w:t>00</w:t>
      </w:r>
    </w:p>
    <w:p w14:paraId="2D7C03AD">
      <w:pPr>
        <w:spacing w:line="480" w:lineRule="auto"/>
        <w:ind w:left="0" w:leftChars="0" w:firstLine="0" w:firstLineChars="0"/>
        <w:rPr>
          <w:rFonts w:hint="eastAsia" w:ascii="宋体" w:hAnsi="Times New Roman" w:eastAsia="宋体" w:cs="Times New Roman"/>
          <w:color w:val="auto"/>
          <w:highlight w:val="none"/>
          <w:lang w:val="en-US" w:eastAsia="zh-CN"/>
        </w:rPr>
      </w:pPr>
      <w:r>
        <w:rPr>
          <w:rFonts w:hint="eastAsia" w:ascii="宋体" w:hAnsi="Times New Roman" w:eastAsia="宋体" w:cs="Times New Roman"/>
          <w:color w:val="auto"/>
          <w:highlight w:val="none"/>
          <w:lang w:val="en-US" w:eastAsia="zh-CN"/>
        </w:rPr>
        <w:t>6、空气干燥基低位发热量(</w:t>
      </w:r>
      <w:r>
        <w:rPr>
          <w:rFonts w:ascii="宋体" w:hAnsi="宋体" w:eastAsia="宋体" w:cs="宋体"/>
          <w:color w:val="auto"/>
          <w:sz w:val="24"/>
          <w:szCs w:val="24"/>
          <w:highlight w:val="none"/>
        </w:rPr>
        <w:t>kcal/kg</w:t>
      </w:r>
      <w:r>
        <w:rPr>
          <w:rFonts w:hint="eastAsia" w:ascii="宋体" w:hAnsi="Times New Roman" w:eastAsia="宋体" w:cs="Times New Roman"/>
          <w:color w:val="auto"/>
          <w:highlight w:val="none"/>
          <w:lang w:val="en-US" w:eastAsia="zh-CN"/>
        </w:rPr>
        <w:t>)Qnet,ad</w:t>
      </w:r>
      <w:r>
        <w:rPr>
          <w:rFonts w:hint="default" w:ascii="宋体" w:hAnsi="Times New Roman" w:eastAsia="宋体" w:cs="Times New Roman"/>
          <w:color w:val="auto"/>
          <w:highlight w:val="none"/>
          <w:lang w:val="en-US" w:eastAsia="zh-CN"/>
        </w:rPr>
        <w:t>≥</w:t>
      </w:r>
      <w:r>
        <w:rPr>
          <w:rFonts w:hint="eastAsia" w:cs="Times New Roman"/>
          <w:color w:val="auto"/>
          <w:highlight w:val="none"/>
          <w:lang w:val="en-US" w:eastAsia="zh-CN"/>
        </w:rPr>
        <w:t>40</w:t>
      </w:r>
      <w:r>
        <w:rPr>
          <w:rFonts w:hint="eastAsia" w:ascii="宋体" w:hAnsi="Times New Roman" w:eastAsia="宋体" w:cs="Times New Roman"/>
          <w:color w:val="auto"/>
          <w:highlight w:val="none"/>
          <w:lang w:val="en-US" w:eastAsia="zh-CN"/>
        </w:rPr>
        <w:t>00</w:t>
      </w:r>
    </w:p>
    <w:p w14:paraId="5019C73D">
      <w:pPr>
        <w:spacing w:line="480" w:lineRule="auto"/>
        <w:ind w:left="0" w:leftChars="0" w:firstLine="0" w:firstLineChars="0"/>
        <w:rPr>
          <w:rFonts w:hint="default" w:ascii="宋体" w:hAnsi="Times New Roman" w:eastAsia="宋体" w:cs="Times New Roman"/>
          <w:color w:val="auto"/>
          <w:highlight w:val="none"/>
          <w:lang w:val="en-US" w:eastAsia="zh-CN"/>
        </w:rPr>
      </w:pPr>
      <w:r>
        <w:rPr>
          <w:rFonts w:hint="eastAsia" w:ascii="宋体" w:hAnsi="Times New Roman" w:eastAsia="宋体" w:cs="Times New Roman"/>
          <w:color w:val="auto"/>
          <w:highlight w:val="none"/>
          <w:lang w:val="en-US" w:eastAsia="zh-CN"/>
        </w:rPr>
        <w:t>7、</w:t>
      </w:r>
      <w:r>
        <w:rPr>
          <w:rFonts w:hint="default" w:ascii="宋体" w:hAnsi="Times New Roman" w:eastAsia="宋体" w:cs="Times New Roman"/>
          <w:color w:val="auto"/>
          <w:highlight w:val="none"/>
          <w:lang w:val="en-US" w:eastAsia="zh-CN"/>
        </w:rPr>
        <w:t>焦渣特性（型）CB</w:t>
      </w:r>
      <w:r>
        <w:rPr>
          <w:rFonts w:hint="eastAsia" w:cs="Times New Roman"/>
          <w:color w:val="auto"/>
          <w:highlight w:val="none"/>
          <w:lang w:val="en-US" w:eastAsia="zh-CN"/>
        </w:rPr>
        <w:t>≤</w:t>
      </w:r>
      <w:r>
        <w:rPr>
          <w:rFonts w:hint="default" w:ascii="宋体" w:hAnsi="Times New Roman" w:eastAsia="宋体" w:cs="Times New Roman"/>
          <w:color w:val="auto"/>
          <w:highlight w:val="none"/>
          <w:lang w:val="en-US" w:eastAsia="zh-CN"/>
        </w:rPr>
        <w:t>2</w:t>
      </w:r>
    </w:p>
    <w:p w14:paraId="3D88625F">
      <w:pPr>
        <w:spacing w:line="480" w:lineRule="auto"/>
        <w:ind w:left="0" w:leftChars="0" w:firstLine="0" w:firstLineChars="0"/>
        <w:rPr>
          <w:rFonts w:hint="default" w:ascii="宋体" w:hAnsi="Times New Roman" w:eastAsia="宋体" w:cs="Times New Roman"/>
          <w:color w:val="auto"/>
          <w:highlight w:val="none"/>
          <w:lang w:val="en-US" w:eastAsia="zh-CN"/>
        </w:rPr>
      </w:pPr>
      <w:r>
        <w:rPr>
          <w:rFonts w:hint="eastAsia" w:ascii="宋体" w:hAnsi="Times New Roman" w:eastAsia="宋体" w:cs="Times New Roman"/>
          <w:color w:val="auto"/>
          <w:highlight w:val="none"/>
          <w:lang w:val="en-US" w:eastAsia="zh-CN"/>
        </w:rPr>
        <w:t>8、干基全硫量St，d</w:t>
      </w:r>
      <w:r>
        <w:rPr>
          <w:rFonts w:hint="eastAsia" w:cs="Times New Roman"/>
          <w:color w:val="auto"/>
          <w:highlight w:val="none"/>
          <w:lang w:val="en-US" w:eastAsia="zh-CN"/>
        </w:rPr>
        <w:t>≤</w:t>
      </w:r>
      <w:r>
        <w:rPr>
          <w:rFonts w:hint="default" w:ascii="宋体" w:hAnsi="Times New Roman" w:eastAsia="宋体" w:cs="Times New Roman"/>
          <w:color w:val="auto"/>
          <w:highlight w:val="none"/>
          <w:lang w:val="en-US" w:eastAsia="zh-CN"/>
        </w:rPr>
        <w:t>0.</w:t>
      </w:r>
      <w:r>
        <w:rPr>
          <w:rFonts w:hint="eastAsia" w:cs="Times New Roman"/>
          <w:color w:val="auto"/>
          <w:highlight w:val="none"/>
          <w:lang w:val="en-US" w:eastAsia="zh-CN"/>
        </w:rPr>
        <w:t>1</w:t>
      </w:r>
      <w:r>
        <w:rPr>
          <w:rFonts w:hint="eastAsia" w:ascii="宋体" w:hAnsi="Times New Roman" w:eastAsia="宋体" w:cs="Times New Roman"/>
          <w:color w:val="auto"/>
          <w:highlight w:val="none"/>
          <w:lang w:val="en-US" w:eastAsia="zh-CN"/>
        </w:rPr>
        <w:t>%</w:t>
      </w:r>
    </w:p>
    <w:p w14:paraId="5154C6C8">
      <w:pPr>
        <w:spacing w:line="480" w:lineRule="auto"/>
        <w:ind w:left="0" w:leftChars="0" w:firstLine="0" w:firstLineChars="0"/>
        <w:rPr>
          <w:rFonts w:hint="eastAsia" w:ascii="宋体" w:hAnsi="Times New Roman" w:eastAsia="宋体" w:cs="Times New Roman"/>
          <w:color w:val="auto"/>
          <w:highlight w:val="none"/>
          <w:lang w:val="en-US" w:eastAsia="zh-CN"/>
        </w:rPr>
      </w:pPr>
      <w:r>
        <w:rPr>
          <w:rFonts w:hint="eastAsia" w:ascii="宋体" w:hAnsi="Times New Roman" w:eastAsia="宋体" w:cs="Times New Roman"/>
          <w:color w:val="auto"/>
          <w:highlight w:val="none"/>
          <w:lang w:val="en-US" w:eastAsia="zh-CN"/>
        </w:rPr>
        <w:t>9、干基固定碳含量FCd</w:t>
      </w:r>
      <w:r>
        <w:rPr>
          <w:rFonts w:hint="eastAsia" w:cs="Times New Roman"/>
          <w:color w:val="auto"/>
          <w:highlight w:val="none"/>
          <w:lang w:val="en-US" w:eastAsia="zh-CN"/>
        </w:rPr>
        <w:t>≥</w:t>
      </w:r>
      <w:r>
        <w:rPr>
          <w:rFonts w:hint="default" w:ascii="宋体" w:hAnsi="Times New Roman" w:eastAsia="宋体" w:cs="Times New Roman"/>
          <w:color w:val="auto"/>
          <w:highlight w:val="none"/>
          <w:lang w:val="en-US" w:eastAsia="zh-CN"/>
        </w:rPr>
        <w:t>1</w:t>
      </w:r>
      <w:r>
        <w:rPr>
          <w:rFonts w:hint="eastAsia" w:cs="Times New Roman"/>
          <w:color w:val="auto"/>
          <w:highlight w:val="none"/>
          <w:lang w:val="en-US" w:eastAsia="zh-CN"/>
        </w:rPr>
        <w:t>0</w:t>
      </w:r>
      <w:r>
        <w:rPr>
          <w:rFonts w:hint="eastAsia" w:ascii="宋体" w:hAnsi="Times New Roman" w:eastAsia="宋体" w:cs="Times New Roman"/>
          <w:color w:val="auto"/>
          <w:highlight w:val="none"/>
          <w:lang w:val="en-US" w:eastAsia="zh-CN"/>
        </w:rPr>
        <w:t>%</w:t>
      </w:r>
    </w:p>
    <w:p w14:paraId="31BCBE30">
      <w:pPr>
        <w:spacing w:line="480" w:lineRule="auto"/>
        <w:ind w:left="0" w:leftChars="0" w:firstLine="0" w:firstLineChars="0"/>
        <w:rPr>
          <w:rFonts w:hint="default" w:ascii="宋体" w:hAnsi="Times New Roman" w:eastAsia="宋体" w:cs="Times New Roman"/>
          <w:color w:val="auto"/>
          <w:highlight w:val="none"/>
          <w:lang w:val="en-US" w:eastAsia="zh-CN"/>
        </w:rPr>
      </w:pPr>
      <w:r>
        <w:rPr>
          <w:rFonts w:hint="eastAsia" w:cs="Times New Roman"/>
          <w:color w:val="auto"/>
          <w:highlight w:val="none"/>
          <w:lang w:val="en-US" w:eastAsia="zh-CN"/>
        </w:rPr>
        <w:t>10、机械耐久性（抗碎强度）≥95%，符合NB/T34024-2015《生物质成型燃料质量分级》要求</w:t>
      </w:r>
    </w:p>
    <w:p w14:paraId="53458004">
      <w:pPr>
        <w:spacing w:line="480" w:lineRule="auto"/>
        <w:ind w:left="0" w:leftChars="0" w:firstLine="0" w:firstLineChars="0"/>
        <w:rPr>
          <w:rFonts w:hint="eastAsia" w:cs="Times New Roman"/>
          <w:b/>
          <w:bCs/>
          <w:color w:val="auto"/>
          <w:highlight w:val="none"/>
          <w:lang w:val="en-US" w:eastAsia="zh-CN"/>
        </w:rPr>
      </w:pPr>
      <w:r>
        <w:rPr>
          <w:rFonts w:hint="eastAsia" w:cs="Times New Roman"/>
          <w:b/>
          <w:bCs/>
          <w:color w:val="auto"/>
          <w:highlight w:val="none"/>
          <w:lang w:val="en-US" w:eastAsia="zh-CN"/>
        </w:rPr>
        <w:t>三、质量标准</w:t>
      </w:r>
    </w:p>
    <w:p w14:paraId="79937D3B">
      <w:pPr>
        <w:spacing w:line="480" w:lineRule="auto"/>
        <w:ind w:left="0" w:leftChars="0" w:firstLine="0" w:firstLineChars="0"/>
        <w:rPr>
          <w:rFonts w:hint="default" w:ascii="宋体" w:hAnsi="Times New Roman" w:eastAsia="宋体" w:cs="Times New Roman"/>
          <w:color w:val="auto"/>
          <w:highlight w:val="none"/>
          <w:lang w:val="en-US" w:eastAsia="zh-CN"/>
        </w:rPr>
      </w:pPr>
      <w:r>
        <w:rPr>
          <w:rFonts w:hint="eastAsia" w:cs="Times New Roman"/>
          <w:color w:val="auto"/>
          <w:highlight w:val="none"/>
          <w:lang w:val="en-US" w:eastAsia="zh-CN"/>
        </w:rPr>
        <w:t>符合国家现行相关产品质量标准要求，产品质量合格</w:t>
      </w:r>
    </w:p>
    <w:p w14:paraId="432EC17E">
      <w:pPr>
        <w:tabs>
          <w:tab w:val="left" w:pos="1122"/>
        </w:tabs>
        <w:bidi w:val="0"/>
        <w:ind w:left="0" w:leftChars="0" w:firstLine="0" w:firstLineChars="0"/>
        <w:jc w:val="left"/>
        <w:rPr>
          <w:rFonts w:hint="eastAsia"/>
          <w:color w:val="auto"/>
          <w:highlight w:val="none"/>
          <w:lang w:val="en-US" w:eastAsia="zh-CN"/>
        </w:rPr>
      </w:pPr>
    </w:p>
    <w:p w14:paraId="4F40803A">
      <w:pPr>
        <w:rPr>
          <w:color w:val="auto"/>
          <w:highlight w:val="none"/>
        </w:rPr>
      </w:pPr>
    </w:p>
    <w:p w14:paraId="65AF1F12">
      <w:pPr>
        <w:bidi w:val="0"/>
        <w:rPr>
          <w:rFonts w:hint="eastAsia"/>
          <w:color w:val="auto"/>
          <w:highlight w:val="none"/>
          <w:lang w:val="en-US" w:eastAsia="zh-CN"/>
        </w:rPr>
      </w:pPr>
    </w:p>
    <w:p w14:paraId="3E31950E">
      <w:pPr>
        <w:bidi w:val="0"/>
        <w:rPr>
          <w:rFonts w:hint="eastAsia"/>
          <w:color w:val="auto"/>
          <w:highlight w:val="none"/>
          <w:lang w:val="en-US" w:eastAsia="zh-CN"/>
        </w:rPr>
      </w:pPr>
    </w:p>
    <w:p w14:paraId="63931295">
      <w:pPr>
        <w:bidi w:val="0"/>
        <w:rPr>
          <w:rFonts w:hint="eastAsia"/>
          <w:color w:val="auto"/>
          <w:highlight w:val="none"/>
          <w:lang w:val="en-US" w:eastAsia="zh-CN"/>
        </w:rPr>
      </w:pPr>
    </w:p>
    <w:p w14:paraId="20CF904B">
      <w:pPr>
        <w:bidi w:val="0"/>
        <w:rPr>
          <w:rFonts w:hint="eastAsia"/>
          <w:color w:val="auto"/>
          <w:highlight w:val="none"/>
          <w:lang w:val="en-US" w:eastAsia="zh-CN"/>
        </w:rPr>
      </w:pPr>
    </w:p>
    <w:p w14:paraId="3308E66B">
      <w:pPr>
        <w:bidi w:val="0"/>
        <w:rPr>
          <w:rFonts w:hint="eastAsia"/>
          <w:color w:val="auto"/>
          <w:highlight w:val="none"/>
          <w:lang w:val="en-US" w:eastAsia="zh-CN"/>
        </w:rPr>
      </w:pPr>
    </w:p>
    <w:p w14:paraId="30F6B838">
      <w:pPr>
        <w:bidi w:val="0"/>
        <w:rPr>
          <w:rFonts w:hint="eastAsia"/>
          <w:color w:val="auto"/>
          <w:highlight w:val="none"/>
          <w:lang w:val="en-US" w:eastAsia="zh-CN"/>
        </w:rPr>
      </w:pPr>
    </w:p>
    <w:p w14:paraId="694972C6">
      <w:pPr>
        <w:bidi w:val="0"/>
        <w:rPr>
          <w:rFonts w:hint="eastAsia"/>
          <w:color w:val="auto"/>
          <w:highlight w:val="none"/>
          <w:lang w:val="en-US" w:eastAsia="zh-CN"/>
        </w:rPr>
      </w:pPr>
    </w:p>
    <w:p w14:paraId="72655342">
      <w:pPr>
        <w:bidi w:val="0"/>
        <w:rPr>
          <w:rFonts w:hint="eastAsia"/>
          <w:color w:val="auto"/>
          <w:highlight w:val="none"/>
          <w:lang w:val="en-US" w:eastAsia="zh-CN"/>
        </w:rPr>
      </w:pPr>
    </w:p>
    <w:p w14:paraId="71E02F4E">
      <w:pPr>
        <w:bidi w:val="0"/>
        <w:rPr>
          <w:rFonts w:hint="eastAsia"/>
          <w:color w:val="auto"/>
          <w:highlight w:val="none"/>
          <w:lang w:val="en-US" w:eastAsia="zh-CN"/>
        </w:rPr>
      </w:pPr>
    </w:p>
    <w:p w14:paraId="6986B786">
      <w:pPr>
        <w:bidi w:val="0"/>
        <w:rPr>
          <w:rFonts w:hint="eastAsia"/>
          <w:color w:val="auto"/>
          <w:highlight w:val="none"/>
          <w:lang w:val="en-US" w:eastAsia="zh-CN"/>
        </w:rPr>
      </w:pPr>
    </w:p>
    <w:p w14:paraId="75208301">
      <w:pPr>
        <w:bidi w:val="0"/>
        <w:rPr>
          <w:rFonts w:hint="eastAsia"/>
          <w:color w:val="auto"/>
          <w:highlight w:val="none"/>
          <w:lang w:val="en-US" w:eastAsia="zh-CN"/>
        </w:rPr>
      </w:pPr>
    </w:p>
    <w:p w14:paraId="689F79FF">
      <w:pPr>
        <w:bidi w:val="0"/>
        <w:rPr>
          <w:rFonts w:hint="eastAsia"/>
          <w:color w:val="auto"/>
          <w:highlight w:val="none"/>
          <w:lang w:val="en-US" w:eastAsia="zh-CN"/>
        </w:rPr>
      </w:pPr>
    </w:p>
    <w:p w14:paraId="5726369A">
      <w:pPr>
        <w:bidi w:val="0"/>
        <w:ind w:left="0" w:leftChars="0" w:firstLine="0" w:firstLineChars="0"/>
        <w:rPr>
          <w:rFonts w:hint="eastAsia"/>
          <w:color w:val="auto"/>
          <w:highlight w:val="none"/>
          <w:lang w:val="en-US" w:eastAsia="zh-CN"/>
        </w:rPr>
      </w:pPr>
    </w:p>
    <w:p w14:paraId="4812354E">
      <w:pPr>
        <w:pStyle w:val="2"/>
        <w:jc w:val="center"/>
        <w:rPr>
          <w:rFonts w:hint="eastAsia"/>
          <w:color w:val="auto"/>
          <w:highlight w:val="none"/>
        </w:rPr>
      </w:pPr>
      <w:bookmarkStart w:id="130" w:name="_Toc14686"/>
      <w:bookmarkStart w:id="131" w:name="_Toc19644"/>
      <w:r>
        <w:rPr>
          <w:rFonts w:hint="eastAsia"/>
          <w:color w:val="auto"/>
          <w:highlight w:val="none"/>
        </w:rPr>
        <w:t>第六章 投标文件格式</w:t>
      </w:r>
      <w:bookmarkEnd w:id="130"/>
      <w:bookmarkEnd w:id="131"/>
    </w:p>
    <w:p w14:paraId="55CEEB66">
      <w:pPr>
        <w:ind w:left="0" w:leftChars="0" w:firstLine="0" w:firstLineChars="0"/>
        <w:rPr>
          <w:rFonts w:hint="eastAsia"/>
          <w:color w:val="auto"/>
          <w:highlight w:val="none"/>
          <w:lang w:val="en-US" w:eastAsia="zh-CN"/>
        </w:rPr>
      </w:pPr>
    </w:p>
    <w:p w14:paraId="036FE63D">
      <w:pPr>
        <w:bidi w:val="0"/>
        <w:rPr>
          <w:rFonts w:hint="eastAsia" w:ascii="宋体" w:hAnsi="Times New Roman" w:eastAsia="宋体" w:cs="Times New Roman"/>
          <w:color w:val="auto"/>
          <w:kern w:val="21"/>
          <w:sz w:val="21"/>
          <w:szCs w:val="22"/>
          <w:highlight w:val="none"/>
          <w:lang w:val="en-US" w:eastAsia="zh-CN" w:bidi="ar-SA"/>
        </w:rPr>
      </w:pPr>
    </w:p>
    <w:p w14:paraId="694A76E4">
      <w:pPr>
        <w:bidi w:val="0"/>
        <w:rPr>
          <w:rFonts w:hint="eastAsia"/>
          <w:color w:val="auto"/>
          <w:highlight w:val="none"/>
          <w:lang w:val="en-US" w:eastAsia="zh-CN"/>
        </w:rPr>
      </w:pPr>
    </w:p>
    <w:p w14:paraId="580CEE84">
      <w:pPr>
        <w:bidi w:val="0"/>
        <w:rPr>
          <w:rFonts w:hint="eastAsia"/>
          <w:color w:val="auto"/>
          <w:highlight w:val="none"/>
          <w:lang w:val="en-US" w:eastAsia="zh-CN"/>
        </w:rPr>
      </w:pPr>
    </w:p>
    <w:p w14:paraId="51997FF0">
      <w:pPr>
        <w:bidi w:val="0"/>
        <w:rPr>
          <w:rFonts w:hint="eastAsia"/>
          <w:color w:val="auto"/>
          <w:highlight w:val="none"/>
          <w:lang w:val="en-US" w:eastAsia="zh-CN"/>
        </w:rPr>
      </w:pPr>
    </w:p>
    <w:p w14:paraId="64FF3E38">
      <w:pPr>
        <w:bidi w:val="0"/>
        <w:rPr>
          <w:rFonts w:hint="eastAsia"/>
          <w:color w:val="auto"/>
          <w:highlight w:val="none"/>
          <w:lang w:val="en-US" w:eastAsia="zh-CN"/>
        </w:rPr>
      </w:pPr>
    </w:p>
    <w:p w14:paraId="480F525E">
      <w:pPr>
        <w:bidi w:val="0"/>
        <w:rPr>
          <w:rFonts w:hint="eastAsia"/>
          <w:color w:val="auto"/>
          <w:highlight w:val="none"/>
          <w:lang w:val="en-US" w:eastAsia="zh-CN"/>
        </w:rPr>
      </w:pPr>
    </w:p>
    <w:p w14:paraId="055A52BB">
      <w:pPr>
        <w:bidi w:val="0"/>
        <w:rPr>
          <w:rFonts w:hint="eastAsia"/>
          <w:color w:val="auto"/>
          <w:highlight w:val="none"/>
          <w:lang w:val="en-US" w:eastAsia="zh-CN"/>
        </w:rPr>
      </w:pPr>
    </w:p>
    <w:p w14:paraId="18D930FE">
      <w:pPr>
        <w:bidi w:val="0"/>
        <w:rPr>
          <w:rFonts w:hint="eastAsia"/>
          <w:color w:val="auto"/>
          <w:highlight w:val="none"/>
          <w:lang w:val="en-US" w:eastAsia="zh-CN"/>
        </w:rPr>
      </w:pPr>
    </w:p>
    <w:p w14:paraId="6C74FFC6">
      <w:pPr>
        <w:bidi w:val="0"/>
        <w:rPr>
          <w:rFonts w:hint="eastAsia"/>
          <w:color w:val="auto"/>
          <w:highlight w:val="none"/>
          <w:lang w:val="en-US" w:eastAsia="zh-CN"/>
        </w:rPr>
      </w:pPr>
    </w:p>
    <w:p w14:paraId="0671F708">
      <w:pPr>
        <w:bidi w:val="0"/>
        <w:rPr>
          <w:rFonts w:hint="eastAsia"/>
          <w:color w:val="auto"/>
          <w:highlight w:val="none"/>
          <w:lang w:val="en-US" w:eastAsia="zh-CN"/>
        </w:rPr>
      </w:pPr>
    </w:p>
    <w:p w14:paraId="6B8E4783">
      <w:pPr>
        <w:bidi w:val="0"/>
        <w:rPr>
          <w:rFonts w:hint="eastAsia"/>
          <w:color w:val="auto"/>
          <w:highlight w:val="none"/>
          <w:lang w:val="en-US" w:eastAsia="zh-CN"/>
        </w:rPr>
      </w:pPr>
    </w:p>
    <w:p w14:paraId="702CAAB3">
      <w:pPr>
        <w:bidi w:val="0"/>
        <w:rPr>
          <w:rFonts w:hint="eastAsia"/>
          <w:color w:val="auto"/>
          <w:highlight w:val="none"/>
          <w:lang w:val="en-US" w:eastAsia="zh-CN"/>
        </w:rPr>
      </w:pPr>
    </w:p>
    <w:p w14:paraId="412A9427">
      <w:pPr>
        <w:bidi w:val="0"/>
        <w:rPr>
          <w:rFonts w:hint="eastAsia"/>
          <w:color w:val="auto"/>
          <w:highlight w:val="none"/>
          <w:lang w:val="en-US" w:eastAsia="zh-CN"/>
        </w:rPr>
      </w:pPr>
    </w:p>
    <w:p w14:paraId="76EDF771">
      <w:pPr>
        <w:bidi w:val="0"/>
        <w:rPr>
          <w:rFonts w:hint="eastAsia"/>
          <w:color w:val="auto"/>
          <w:highlight w:val="none"/>
          <w:lang w:val="en-US" w:eastAsia="zh-CN"/>
        </w:rPr>
      </w:pPr>
    </w:p>
    <w:p w14:paraId="5C761087">
      <w:pPr>
        <w:bidi w:val="0"/>
        <w:rPr>
          <w:rFonts w:hint="eastAsia"/>
          <w:color w:val="auto"/>
          <w:highlight w:val="none"/>
          <w:lang w:val="en-US" w:eastAsia="zh-CN"/>
        </w:rPr>
      </w:pPr>
    </w:p>
    <w:p w14:paraId="148FAD97">
      <w:pPr>
        <w:bidi w:val="0"/>
        <w:rPr>
          <w:rFonts w:hint="eastAsia"/>
          <w:color w:val="auto"/>
          <w:highlight w:val="none"/>
          <w:lang w:val="en-US" w:eastAsia="zh-CN"/>
        </w:rPr>
      </w:pPr>
    </w:p>
    <w:p w14:paraId="51295FDB">
      <w:pPr>
        <w:bidi w:val="0"/>
        <w:rPr>
          <w:rFonts w:hint="eastAsia"/>
          <w:color w:val="auto"/>
          <w:highlight w:val="none"/>
          <w:lang w:val="en-US" w:eastAsia="zh-CN"/>
        </w:rPr>
      </w:pPr>
    </w:p>
    <w:p w14:paraId="1714F616">
      <w:pPr>
        <w:bidi w:val="0"/>
        <w:rPr>
          <w:rFonts w:hint="eastAsia"/>
          <w:color w:val="auto"/>
          <w:highlight w:val="none"/>
          <w:lang w:val="en-US" w:eastAsia="zh-CN"/>
        </w:rPr>
      </w:pPr>
    </w:p>
    <w:p w14:paraId="184D4C5C">
      <w:pPr>
        <w:bidi w:val="0"/>
        <w:rPr>
          <w:rFonts w:hint="eastAsia"/>
          <w:color w:val="auto"/>
          <w:highlight w:val="none"/>
          <w:lang w:val="en-US" w:eastAsia="zh-CN"/>
        </w:rPr>
      </w:pPr>
    </w:p>
    <w:p w14:paraId="1BCBFCA3">
      <w:pPr>
        <w:bidi w:val="0"/>
        <w:rPr>
          <w:rFonts w:hint="eastAsia"/>
          <w:color w:val="auto"/>
          <w:highlight w:val="none"/>
          <w:lang w:val="en-US" w:eastAsia="zh-CN"/>
        </w:rPr>
      </w:pPr>
    </w:p>
    <w:p w14:paraId="6FA7E9E9">
      <w:pPr>
        <w:bidi w:val="0"/>
        <w:rPr>
          <w:rFonts w:hint="eastAsia"/>
          <w:color w:val="auto"/>
          <w:highlight w:val="none"/>
          <w:lang w:val="en-US" w:eastAsia="zh-CN"/>
        </w:rPr>
      </w:pPr>
    </w:p>
    <w:p w14:paraId="1D7D32ED">
      <w:pPr>
        <w:bidi w:val="0"/>
        <w:rPr>
          <w:rFonts w:hint="eastAsia"/>
          <w:color w:val="auto"/>
          <w:highlight w:val="none"/>
          <w:lang w:val="en-US" w:eastAsia="zh-CN"/>
        </w:rPr>
      </w:pPr>
    </w:p>
    <w:p w14:paraId="19D8DA72">
      <w:pPr>
        <w:bidi w:val="0"/>
        <w:rPr>
          <w:rFonts w:hint="eastAsia"/>
          <w:color w:val="auto"/>
          <w:highlight w:val="none"/>
          <w:lang w:val="en-US" w:eastAsia="zh-CN"/>
        </w:rPr>
      </w:pPr>
    </w:p>
    <w:p w14:paraId="342C9909">
      <w:pPr>
        <w:bidi w:val="0"/>
        <w:rPr>
          <w:rFonts w:hint="eastAsia"/>
          <w:color w:val="auto"/>
          <w:highlight w:val="none"/>
          <w:lang w:val="en-US" w:eastAsia="zh-CN"/>
        </w:rPr>
      </w:pPr>
    </w:p>
    <w:p w14:paraId="319F16D0">
      <w:pPr>
        <w:bidi w:val="0"/>
        <w:rPr>
          <w:rFonts w:hint="eastAsia"/>
          <w:color w:val="auto"/>
          <w:highlight w:val="none"/>
          <w:lang w:val="en-US" w:eastAsia="zh-CN"/>
        </w:rPr>
      </w:pPr>
    </w:p>
    <w:p w14:paraId="5C28A87C">
      <w:pPr>
        <w:bidi w:val="0"/>
        <w:rPr>
          <w:rFonts w:hint="eastAsia"/>
          <w:color w:val="auto"/>
          <w:highlight w:val="none"/>
          <w:lang w:val="en-US" w:eastAsia="zh-CN"/>
        </w:rPr>
      </w:pPr>
    </w:p>
    <w:p w14:paraId="0F77E9D4">
      <w:pPr>
        <w:bidi w:val="0"/>
        <w:rPr>
          <w:rFonts w:hint="eastAsia"/>
          <w:color w:val="auto"/>
          <w:highlight w:val="none"/>
          <w:lang w:val="en-US" w:eastAsia="zh-CN"/>
        </w:rPr>
      </w:pPr>
    </w:p>
    <w:p w14:paraId="53E9D9E2">
      <w:pPr>
        <w:bidi w:val="0"/>
        <w:rPr>
          <w:rFonts w:hint="eastAsia"/>
          <w:color w:val="auto"/>
          <w:highlight w:val="none"/>
          <w:lang w:val="en-US" w:eastAsia="zh-CN"/>
        </w:rPr>
      </w:pPr>
    </w:p>
    <w:p w14:paraId="6921328B">
      <w:pPr>
        <w:bidi w:val="0"/>
        <w:rPr>
          <w:rFonts w:hint="eastAsia"/>
          <w:color w:val="auto"/>
          <w:highlight w:val="none"/>
          <w:lang w:val="en-US" w:eastAsia="zh-CN"/>
        </w:rPr>
      </w:pPr>
    </w:p>
    <w:p w14:paraId="3CCA61CB">
      <w:pPr>
        <w:bidi w:val="0"/>
        <w:rPr>
          <w:rFonts w:hint="eastAsia"/>
          <w:color w:val="auto"/>
          <w:highlight w:val="none"/>
          <w:lang w:val="en-US" w:eastAsia="zh-CN"/>
        </w:rPr>
      </w:pPr>
    </w:p>
    <w:p w14:paraId="2F65490A">
      <w:pPr>
        <w:bidi w:val="0"/>
        <w:rPr>
          <w:rFonts w:hint="eastAsia"/>
          <w:color w:val="auto"/>
          <w:highlight w:val="none"/>
          <w:lang w:val="en-US" w:eastAsia="zh-CN"/>
        </w:rPr>
      </w:pPr>
    </w:p>
    <w:p w14:paraId="4BCB7170">
      <w:pPr>
        <w:tabs>
          <w:tab w:val="left" w:pos="385"/>
        </w:tabs>
        <w:bidi w:val="0"/>
        <w:jc w:val="left"/>
        <w:rPr>
          <w:rFonts w:hint="eastAsia"/>
          <w:color w:val="auto"/>
          <w:highlight w:val="none"/>
          <w:lang w:val="en-US" w:eastAsia="zh-CN"/>
        </w:rPr>
      </w:pPr>
      <w:r>
        <w:rPr>
          <w:rFonts w:hint="eastAsia"/>
          <w:color w:val="auto"/>
          <w:highlight w:val="none"/>
          <w:lang w:val="en-US" w:eastAsia="zh-CN"/>
        </w:rPr>
        <w:tab/>
      </w:r>
    </w:p>
    <w:p w14:paraId="475A3EB2">
      <w:pPr>
        <w:ind w:firstLine="0" w:firstLineChars="0"/>
        <w:jc w:val="center"/>
        <w:rPr>
          <w:color w:val="auto"/>
          <w:highlight w:val="none"/>
        </w:rPr>
      </w:pPr>
      <w:r>
        <w:rPr>
          <w:rFonts w:hint="eastAsia"/>
          <w:color w:val="auto"/>
          <w:sz w:val="52"/>
          <w:szCs w:val="52"/>
          <w:highlight w:val="none"/>
          <w:lang w:val="zh-CN"/>
        </w:rPr>
        <w:t>（项目名称）</w:t>
      </w:r>
    </w:p>
    <w:p w14:paraId="27705C36">
      <w:pPr>
        <w:ind w:firstLine="420"/>
        <w:jc w:val="center"/>
        <w:rPr>
          <w:color w:val="auto"/>
          <w:highlight w:val="none"/>
        </w:rPr>
      </w:pPr>
    </w:p>
    <w:p w14:paraId="44F423B1">
      <w:pPr>
        <w:ind w:firstLine="420"/>
        <w:jc w:val="center"/>
        <w:rPr>
          <w:color w:val="auto"/>
          <w:highlight w:val="none"/>
        </w:rPr>
      </w:pPr>
    </w:p>
    <w:p w14:paraId="3B50DFCA">
      <w:pPr>
        <w:ind w:firstLine="0" w:firstLineChars="0"/>
        <w:jc w:val="center"/>
        <w:rPr>
          <w:b/>
          <w:bCs/>
          <w:color w:val="auto"/>
          <w:sz w:val="72"/>
          <w:szCs w:val="72"/>
          <w:highlight w:val="none"/>
        </w:rPr>
      </w:pPr>
      <w:r>
        <w:rPr>
          <w:rFonts w:hint="eastAsia"/>
          <w:b/>
          <w:bCs/>
          <w:color w:val="auto"/>
          <w:sz w:val="72"/>
          <w:szCs w:val="72"/>
          <w:highlight w:val="none"/>
        </w:rPr>
        <w:t>投 标 文 件</w:t>
      </w:r>
    </w:p>
    <w:p w14:paraId="08C48BCD">
      <w:pPr>
        <w:ind w:firstLine="420"/>
        <w:jc w:val="center"/>
        <w:rPr>
          <w:color w:val="auto"/>
          <w:highlight w:val="none"/>
        </w:rPr>
      </w:pPr>
    </w:p>
    <w:p w14:paraId="1132C485">
      <w:pPr>
        <w:ind w:firstLine="420"/>
        <w:jc w:val="center"/>
        <w:rPr>
          <w:color w:val="auto"/>
          <w:highlight w:val="none"/>
        </w:rPr>
      </w:pPr>
    </w:p>
    <w:p w14:paraId="03F78B01">
      <w:pPr>
        <w:ind w:firstLine="420"/>
        <w:jc w:val="center"/>
        <w:rPr>
          <w:color w:val="auto"/>
          <w:highlight w:val="none"/>
        </w:rPr>
      </w:pPr>
    </w:p>
    <w:p w14:paraId="02E5752D">
      <w:pPr>
        <w:ind w:firstLine="0" w:firstLineChars="0"/>
        <w:jc w:val="center"/>
        <w:rPr>
          <w:b/>
          <w:bCs/>
          <w:color w:val="auto"/>
          <w:sz w:val="32"/>
          <w:szCs w:val="32"/>
          <w:highlight w:val="none"/>
        </w:rPr>
      </w:pPr>
      <w:r>
        <w:rPr>
          <w:rFonts w:hint="eastAsia"/>
          <w:b/>
          <w:bCs/>
          <w:color w:val="auto"/>
          <w:sz w:val="32"/>
          <w:szCs w:val="32"/>
          <w:highlight w:val="none"/>
        </w:rPr>
        <w:t>项目编号：</w:t>
      </w:r>
    </w:p>
    <w:p w14:paraId="0275D6A2">
      <w:pPr>
        <w:ind w:firstLine="420"/>
        <w:jc w:val="left"/>
        <w:rPr>
          <w:color w:val="auto"/>
          <w:highlight w:val="none"/>
        </w:rPr>
      </w:pPr>
    </w:p>
    <w:p w14:paraId="79F6E407">
      <w:pPr>
        <w:ind w:firstLine="420"/>
        <w:jc w:val="left"/>
        <w:rPr>
          <w:color w:val="auto"/>
          <w:highlight w:val="none"/>
        </w:rPr>
      </w:pPr>
    </w:p>
    <w:p w14:paraId="0C0AE7BB">
      <w:pPr>
        <w:ind w:firstLine="420"/>
        <w:rPr>
          <w:color w:val="auto"/>
          <w:highlight w:val="none"/>
        </w:rPr>
      </w:pPr>
    </w:p>
    <w:p w14:paraId="1CC21216">
      <w:pPr>
        <w:ind w:firstLine="420"/>
        <w:rPr>
          <w:color w:val="auto"/>
          <w:highlight w:val="none"/>
        </w:rPr>
      </w:pPr>
    </w:p>
    <w:p w14:paraId="1ADFE5AE">
      <w:pPr>
        <w:ind w:firstLine="420"/>
        <w:rPr>
          <w:color w:val="auto"/>
          <w:highlight w:val="none"/>
        </w:rPr>
      </w:pPr>
    </w:p>
    <w:p w14:paraId="309898BF">
      <w:pPr>
        <w:ind w:firstLine="420"/>
        <w:rPr>
          <w:color w:val="auto"/>
          <w:highlight w:val="none"/>
        </w:rPr>
      </w:pPr>
    </w:p>
    <w:p w14:paraId="6A85C61C">
      <w:pPr>
        <w:ind w:firstLine="420"/>
        <w:rPr>
          <w:color w:val="auto"/>
          <w:highlight w:val="none"/>
        </w:rPr>
      </w:pPr>
    </w:p>
    <w:p w14:paraId="2BD73599">
      <w:pPr>
        <w:ind w:firstLine="420"/>
        <w:rPr>
          <w:color w:val="auto"/>
          <w:highlight w:val="none"/>
        </w:rPr>
      </w:pPr>
    </w:p>
    <w:p w14:paraId="759B104C">
      <w:pPr>
        <w:ind w:firstLine="420"/>
        <w:rPr>
          <w:color w:val="auto"/>
          <w:highlight w:val="none"/>
        </w:rPr>
      </w:pPr>
    </w:p>
    <w:p w14:paraId="14324004">
      <w:pPr>
        <w:ind w:firstLine="420"/>
        <w:rPr>
          <w:color w:val="auto"/>
          <w:highlight w:val="none"/>
        </w:rPr>
      </w:pPr>
    </w:p>
    <w:p w14:paraId="5D4C6063">
      <w:pPr>
        <w:ind w:firstLine="420"/>
        <w:rPr>
          <w:color w:val="auto"/>
          <w:highlight w:val="none"/>
        </w:rPr>
      </w:pPr>
    </w:p>
    <w:p w14:paraId="2C366EB0">
      <w:pPr>
        <w:autoSpaceDE w:val="0"/>
        <w:autoSpaceDN w:val="0"/>
        <w:adjustRightInd w:val="0"/>
        <w:ind w:firstLine="1120" w:firstLineChars="400"/>
        <w:rPr>
          <w:rFonts w:hint="eastAsia" w:hAnsi="宋体" w:cs="宋体"/>
          <w:color w:val="auto"/>
          <w:kern w:val="0"/>
          <w:sz w:val="28"/>
          <w:szCs w:val="28"/>
          <w:highlight w:val="none"/>
        </w:rPr>
      </w:pPr>
      <w:r>
        <w:rPr>
          <w:rFonts w:hint="eastAsia" w:hAnsi="宋体" w:cs="宋体"/>
          <w:color w:val="auto"/>
          <w:kern w:val="0"/>
          <w:sz w:val="28"/>
          <w:szCs w:val="28"/>
          <w:highlight w:val="none"/>
          <w:lang w:eastAsia="zh-CN"/>
        </w:rPr>
        <w:t>投标人</w:t>
      </w:r>
      <w:r>
        <w:rPr>
          <w:rFonts w:hint="eastAsia" w:hAnsi="宋体" w:cs="宋体"/>
          <w:color w:val="auto"/>
          <w:kern w:val="0"/>
          <w:sz w:val="28"/>
          <w:szCs w:val="28"/>
          <w:highlight w:val="none"/>
        </w:rPr>
        <w:t>：</w:t>
      </w:r>
      <w:r>
        <w:rPr>
          <w:rFonts w:hint="eastAsia" w:hAnsi="宋体" w:cs="宋体"/>
          <w:color w:val="auto"/>
          <w:kern w:val="0"/>
          <w:sz w:val="28"/>
          <w:szCs w:val="28"/>
          <w:highlight w:val="none"/>
          <w:u w:val="single"/>
        </w:rPr>
        <w:t xml:space="preserve">                             </w:t>
      </w:r>
      <w:r>
        <w:rPr>
          <w:rFonts w:hint="eastAsia" w:hAnsi="宋体" w:cs="宋体"/>
          <w:color w:val="auto"/>
          <w:kern w:val="0"/>
          <w:sz w:val="28"/>
          <w:szCs w:val="28"/>
          <w:highlight w:val="none"/>
        </w:rPr>
        <w:t>（盖单位公章）</w:t>
      </w:r>
    </w:p>
    <w:p w14:paraId="5CCE787B">
      <w:pPr>
        <w:ind w:firstLine="420"/>
        <w:rPr>
          <w:rFonts w:hint="eastAsia"/>
          <w:color w:val="auto"/>
          <w:highlight w:val="none"/>
        </w:rPr>
      </w:pPr>
    </w:p>
    <w:p w14:paraId="0D5F2F23">
      <w:pPr>
        <w:autoSpaceDE w:val="0"/>
        <w:autoSpaceDN w:val="0"/>
        <w:adjustRightInd w:val="0"/>
        <w:ind w:firstLine="1120" w:firstLineChars="400"/>
        <w:rPr>
          <w:rFonts w:hint="eastAsia" w:hAnsi="宋体" w:cs="宋体"/>
          <w:color w:val="auto"/>
          <w:kern w:val="0"/>
          <w:sz w:val="28"/>
          <w:szCs w:val="28"/>
          <w:highlight w:val="none"/>
        </w:rPr>
      </w:pPr>
      <w:r>
        <w:rPr>
          <w:rFonts w:hint="eastAsia" w:hAnsi="宋体" w:cs="宋体"/>
          <w:color w:val="auto"/>
          <w:kern w:val="0"/>
          <w:sz w:val="28"/>
          <w:szCs w:val="28"/>
          <w:highlight w:val="none"/>
        </w:rPr>
        <w:t>法定代表人或其委托代理人：</w:t>
      </w:r>
      <w:r>
        <w:rPr>
          <w:rFonts w:hint="eastAsia" w:hAnsi="宋体" w:cs="宋体"/>
          <w:color w:val="auto"/>
          <w:kern w:val="0"/>
          <w:sz w:val="28"/>
          <w:szCs w:val="28"/>
          <w:highlight w:val="none"/>
          <w:u w:val="single"/>
        </w:rPr>
        <w:t xml:space="preserve">                 </w:t>
      </w:r>
      <w:r>
        <w:rPr>
          <w:rFonts w:hint="eastAsia" w:hAnsi="宋体" w:cs="宋体"/>
          <w:color w:val="auto"/>
          <w:kern w:val="0"/>
          <w:sz w:val="28"/>
          <w:szCs w:val="28"/>
          <w:highlight w:val="none"/>
        </w:rPr>
        <w:t>（签字）</w:t>
      </w:r>
    </w:p>
    <w:p w14:paraId="096E9993">
      <w:pPr>
        <w:ind w:firstLine="420"/>
        <w:rPr>
          <w:rFonts w:hint="eastAsia"/>
          <w:color w:val="auto"/>
          <w:highlight w:val="none"/>
        </w:rPr>
      </w:pPr>
    </w:p>
    <w:p w14:paraId="119F4BB3">
      <w:pPr>
        <w:autoSpaceDE w:val="0"/>
        <w:autoSpaceDN w:val="0"/>
        <w:adjustRightInd w:val="0"/>
        <w:spacing w:line="480" w:lineRule="auto"/>
        <w:ind w:firstLine="1960" w:firstLineChars="700"/>
        <w:jc w:val="left"/>
        <w:rPr>
          <w:rFonts w:hint="eastAsia" w:hAnsi="宋体" w:cs="宋体"/>
          <w:color w:val="auto"/>
          <w:kern w:val="0"/>
          <w:sz w:val="28"/>
          <w:szCs w:val="28"/>
          <w:highlight w:val="none"/>
        </w:rPr>
      </w:pPr>
      <w:r>
        <w:rPr>
          <w:rFonts w:hint="eastAsia" w:hAnsi="宋体" w:cs="宋体"/>
          <w:color w:val="auto"/>
          <w:kern w:val="0"/>
          <w:sz w:val="28"/>
          <w:szCs w:val="28"/>
          <w:highlight w:val="none"/>
          <w:u w:val="single"/>
        </w:rPr>
        <w:t xml:space="preserve">         </w:t>
      </w:r>
      <w:r>
        <w:rPr>
          <w:rFonts w:hint="eastAsia" w:hAnsi="宋体" w:cs="宋体"/>
          <w:color w:val="auto"/>
          <w:kern w:val="0"/>
          <w:sz w:val="28"/>
          <w:szCs w:val="28"/>
          <w:highlight w:val="none"/>
        </w:rPr>
        <w:t>年</w:t>
      </w:r>
      <w:r>
        <w:rPr>
          <w:rFonts w:hint="eastAsia" w:hAnsi="宋体" w:cs="宋体"/>
          <w:color w:val="auto"/>
          <w:kern w:val="0"/>
          <w:sz w:val="28"/>
          <w:szCs w:val="28"/>
          <w:highlight w:val="none"/>
          <w:u w:val="single"/>
        </w:rPr>
        <w:t xml:space="preserve">         </w:t>
      </w:r>
      <w:r>
        <w:rPr>
          <w:rFonts w:hint="eastAsia" w:hAnsi="宋体" w:cs="宋体"/>
          <w:color w:val="auto"/>
          <w:kern w:val="0"/>
          <w:sz w:val="28"/>
          <w:szCs w:val="28"/>
          <w:highlight w:val="none"/>
        </w:rPr>
        <w:t>月</w:t>
      </w:r>
      <w:r>
        <w:rPr>
          <w:rFonts w:hint="eastAsia" w:hAnsi="宋体" w:cs="宋体"/>
          <w:color w:val="auto"/>
          <w:kern w:val="0"/>
          <w:sz w:val="28"/>
          <w:szCs w:val="28"/>
          <w:highlight w:val="none"/>
          <w:u w:val="single"/>
        </w:rPr>
        <w:t xml:space="preserve">         </w:t>
      </w:r>
      <w:r>
        <w:rPr>
          <w:rFonts w:hint="eastAsia" w:hAnsi="宋体" w:cs="宋体"/>
          <w:color w:val="auto"/>
          <w:kern w:val="0"/>
          <w:sz w:val="28"/>
          <w:szCs w:val="28"/>
          <w:highlight w:val="none"/>
        </w:rPr>
        <w:t>日</w:t>
      </w:r>
    </w:p>
    <w:p w14:paraId="0847E69A">
      <w:pPr>
        <w:ind w:firstLine="420"/>
        <w:rPr>
          <w:rFonts w:hint="eastAsia"/>
          <w:color w:val="auto"/>
          <w:highlight w:val="none"/>
        </w:rPr>
        <w:sectPr>
          <w:pgSz w:w="11905" w:h="16838"/>
          <w:pgMar w:top="1440" w:right="1803" w:bottom="1440" w:left="1803" w:header="850" w:footer="850" w:gutter="0"/>
          <w:pgNumType w:fmt="decimal"/>
          <w:cols w:space="0" w:num="1"/>
          <w:rtlGutter w:val="0"/>
          <w:docGrid w:linePitch="490" w:charSpace="0"/>
        </w:sectPr>
      </w:pPr>
    </w:p>
    <w:p w14:paraId="7A22A44C">
      <w:pPr>
        <w:ind w:firstLine="420"/>
        <w:rPr>
          <w:rFonts w:hint="eastAsia"/>
          <w:color w:val="auto"/>
          <w:highlight w:val="none"/>
          <w:lang w:val="zh-CN"/>
        </w:rPr>
      </w:pPr>
    </w:p>
    <w:p w14:paraId="51D8C2E4">
      <w:pPr>
        <w:adjustRightInd w:val="0"/>
        <w:ind w:firstLine="0" w:firstLineChars="0"/>
        <w:jc w:val="center"/>
        <w:rPr>
          <w:rFonts w:hAnsi="宋体" w:cs="宋体"/>
          <w:b/>
          <w:bCs/>
          <w:color w:val="auto"/>
          <w:sz w:val="28"/>
          <w:szCs w:val="28"/>
          <w:highlight w:val="none"/>
          <w:lang w:val="zh-CN"/>
        </w:rPr>
      </w:pPr>
      <w:r>
        <w:rPr>
          <w:rFonts w:hint="eastAsia" w:hAnsi="宋体" w:cs="宋体"/>
          <w:b/>
          <w:bCs/>
          <w:color w:val="auto"/>
          <w:sz w:val="28"/>
          <w:szCs w:val="28"/>
          <w:highlight w:val="none"/>
          <w:lang w:val="zh-CN"/>
        </w:rPr>
        <w:t>目  录</w:t>
      </w:r>
    </w:p>
    <w:p w14:paraId="40CC056C">
      <w:pPr>
        <w:ind w:firstLine="420"/>
        <w:rPr>
          <w:color w:val="auto"/>
          <w:highlight w:val="none"/>
          <w:lang w:val="zh-CN"/>
        </w:rPr>
      </w:pPr>
    </w:p>
    <w:p w14:paraId="4D15DD28">
      <w:pPr>
        <w:ind w:firstLine="0" w:firstLineChars="0"/>
        <w:jc w:val="center"/>
        <w:rPr>
          <w:color w:val="auto"/>
          <w:highlight w:val="none"/>
        </w:rPr>
      </w:pPr>
      <w:r>
        <w:rPr>
          <w:rFonts w:hint="eastAsia"/>
          <w:color w:val="auto"/>
          <w:highlight w:val="none"/>
        </w:rPr>
        <w:t>要求自行编制目录，并编制对应页码。</w:t>
      </w:r>
    </w:p>
    <w:p w14:paraId="39CD7FDF">
      <w:pPr>
        <w:ind w:firstLine="420"/>
        <w:rPr>
          <w:color w:val="auto"/>
          <w:highlight w:val="none"/>
        </w:rPr>
      </w:pPr>
    </w:p>
    <w:p w14:paraId="3E4F89AB">
      <w:pPr>
        <w:ind w:firstLine="420"/>
        <w:rPr>
          <w:color w:val="auto"/>
          <w:highlight w:val="none"/>
        </w:rPr>
      </w:pPr>
    </w:p>
    <w:p w14:paraId="5B834493">
      <w:pPr>
        <w:ind w:firstLine="420"/>
        <w:rPr>
          <w:color w:val="auto"/>
          <w:highlight w:val="none"/>
        </w:rPr>
      </w:pPr>
    </w:p>
    <w:p w14:paraId="283C8FB1">
      <w:pPr>
        <w:ind w:firstLine="420"/>
        <w:rPr>
          <w:color w:val="auto"/>
          <w:highlight w:val="none"/>
        </w:rPr>
        <w:sectPr>
          <w:pgSz w:w="11905" w:h="16838"/>
          <w:pgMar w:top="1440" w:right="1803" w:bottom="1440" w:left="1803" w:header="850" w:footer="850" w:gutter="0"/>
          <w:pgNumType w:fmt="decimal"/>
          <w:cols w:space="0" w:num="1"/>
          <w:rtlGutter w:val="0"/>
          <w:docGrid w:linePitch="490" w:charSpace="0"/>
        </w:sectPr>
      </w:pPr>
    </w:p>
    <w:p w14:paraId="605FC627">
      <w:pPr>
        <w:pStyle w:val="3"/>
        <w:bidi w:val="0"/>
        <w:jc w:val="center"/>
        <w:rPr>
          <w:rFonts w:hint="eastAsia"/>
          <w:color w:val="auto"/>
          <w:highlight w:val="none"/>
          <w:lang w:val="zh-CN"/>
        </w:rPr>
      </w:pPr>
      <w:bookmarkStart w:id="132" w:name="_Toc27628"/>
      <w:bookmarkStart w:id="133" w:name="_Toc610"/>
      <w:r>
        <w:rPr>
          <w:rFonts w:hint="eastAsia"/>
          <w:color w:val="auto"/>
          <w:highlight w:val="none"/>
          <w:lang w:val="zh-CN"/>
        </w:rPr>
        <w:t>一、投标函</w:t>
      </w:r>
      <w:bookmarkEnd w:id="132"/>
      <w:bookmarkEnd w:id="133"/>
    </w:p>
    <w:p w14:paraId="69AD4EDB">
      <w:pPr>
        <w:ind w:firstLine="420"/>
        <w:rPr>
          <w:rFonts w:hint="eastAsia"/>
          <w:color w:val="auto"/>
          <w:highlight w:val="none"/>
          <w:lang w:val="zh-CN"/>
        </w:rPr>
      </w:pPr>
    </w:p>
    <w:p w14:paraId="4BC9CF0F">
      <w:pPr>
        <w:ind w:firstLine="0" w:firstLineChars="0"/>
        <w:rPr>
          <w:rFonts w:hAnsi="宋体" w:cs="宋体-18030"/>
          <w:color w:val="auto"/>
          <w:kern w:val="0"/>
          <w:szCs w:val="21"/>
          <w:highlight w:val="none"/>
        </w:rPr>
      </w:pPr>
      <w:r>
        <w:rPr>
          <w:rFonts w:hint="eastAsia" w:hAnsi="宋体" w:cs="宋体-18030"/>
          <w:color w:val="auto"/>
          <w:kern w:val="0"/>
          <w:szCs w:val="21"/>
          <w:highlight w:val="none"/>
          <w:u w:val="single"/>
        </w:rPr>
        <w:t xml:space="preserve">                  （采购人名称） </w:t>
      </w:r>
      <w:r>
        <w:rPr>
          <w:rFonts w:hint="eastAsia" w:hAnsi="宋体" w:cs="宋体-18030"/>
          <w:color w:val="auto"/>
          <w:kern w:val="0"/>
          <w:szCs w:val="21"/>
          <w:highlight w:val="none"/>
        </w:rPr>
        <w:t>：</w:t>
      </w:r>
    </w:p>
    <w:p w14:paraId="1917109A">
      <w:pPr>
        <w:ind w:firstLine="420"/>
        <w:rPr>
          <w:rFonts w:hAnsi="宋体" w:cs="宋体-18030"/>
          <w:color w:val="auto"/>
          <w:kern w:val="0"/>
          <w:szCs w:val="21"/>
          <w:highlight w:val="none"/>
        </w:rPr>
      </w:pPr>
      <w:r>
        <w:rPr>
          <w:rFonts w:hint="eastAsia" w:hAnsi="宋体" w:cs="宋体-18030"/>
          <w:color w:val="auto"/>
          <w:kern w:val="0"/>
          <w:szCs w:val="21"/>
          <w:highlight w:val="none"/>
        </w:rPr>
        <w:t>1.我方已仔细研究了</w:t>
      </w:r>
      <w:r>
        <w:rPr>
          <w:rFonts w:hint="eastAsia" w:hAnsi="宋体" w:cs="宋体-18030"/>
          <w:color w:val="auto"/>
          <w:kern w:val="0"/>
          <w:szCs w:val="21"/>
          <w:highlight w:val="none"/>
          <w:u w:val="single"/>
        </w:rPr>
        <w:t xml:space="preserve">     （项目名称）     </w:t>
      </w:r>
      <w:r>
        <w:rPr>
          <w:rFonts w:hint="eastAsia" w:hAnsi="宋体" w:cs="宋体-18030"/>
          <w:color w:val="auto"/>
          <w:kern w:val="0"/>
          <w:szCs w:val="21"/>
          <w:highlight w:val="none"/>
        </w:rPr>
        <w:t>采购文件的全部内容，投标报价</w:t>
      </w:r>
      <w:r>
        <w:rPr>
          <w:rFonts w:hint="eastAsia" w:hAnsi="宋体" w:cs="宋体-18030"/>
          <w:color w:val="auto"/>
          <w:kern w:val="0"/>
          <w:szCs w:val="21"/>
          <w:highlight w:val="none"/>
          <w:lang w:val="en-US" w:eastAsia="zh-CN"/>
        </w:rPr>
        <w:t>单价为</w:t>
      </w:r>
      <w:r>
        <w:rPr>
          <w:rFonts w:hint="eastAsia" w:hAnsi="宋体" w:cs="宋体-18030"/>
          <w:color w:val="auto"/>
          <w:kern w:val="0"/>
          <w:szCs w:val="21"/>
          <w:highlight w:val="none"/>
        </w:rPr>
        <w:t>：</w:t>
      </w:r>
      <w:r>
        <w:rPr>
          <w:rFonts w:hint="eastAsia" w:hAnsi="宋体" w:cs="宋体-18030"/>
          <w:color w:val="auto"/>
          <w:kern w:val="0"/>
          <w:szCs w:val="21"/>
          <w:highlight w:val="none"/>
          <w:lang w:val="zh-CN"/>
        </w:rPr>
        <w:t>人民币（大写）</w:t>
      </w:r>
      <w:r>
        <w:rPr>
          <w:rFonts w:hint="eastAsia" w:hAnsi="宋体" w:cs="宋体-18030"/>
          <w:color w:val="auto"/>
          <w:kern w:val="0"/>
          <w:szCs w:val="21"/>
          <w:highlight w:val="none"/>
          <w:u w:val="single"/>
          <w:lang w:val="zh-CN"/>
        </w:rPr>
        <w:t xml:space="preserve">           </w:t>
      </w:r>
      <w:r>
        <w:rPr>
          <w:rFonts w:hint="eastAsia" w:hAnsi="宋体" w:cs="宋体-18030"/>
          <w:color w:val="auto"/>
          <w:kern w:val="0"/>
          <w:szCs w:val="21"/>
          <w:highlight w:val="none"/>
          <w:lang w:val="zh-CN"/>
        </w:rPr>
        <w:t>元</w:t>
      </w:r>
      <w:r>
        <w:rPr>
          <w:rFonts w:hint="eastAsia" w:hAnsi="宋体" w:cs="宋体-18030"/>
          <w:color w:val="auto"/>
          <w:kern w:val="0"/>
          <w:szCs w:val="21"/>
          <w:highlight w:val="none"/>
          <w:lang w:val="en-US" w:eastAsia="zh-CN"/>
        </w:rPr>
        <w:t>/吨</w:t>
      </w:r>
      <w:r>
        <w:rPr>
          <w:rFonts w:hint="eastAsia" w:hAnsi="宋体" w:cs="宋体-18030"/>
          <w:color w:val="auto"/>
          <w:kern w:val="0"/>
          <w:szCs w:val="21"/>
          <w:highlight w:val="none"/>
          <w:lang w:val="zh-CN"/>
        </w:rPr>
        <w:t>（￥</w:t>
      </w:r>
      <w:r>
        <w:rPr>
          <w:rFonts w:hint="eastAsia" w:hAnsi="宋体" w:cs="宋体-18030"/>
          <w:color w:val="auto"/>
          <w:kern w:val="0"/>
          <w:szCs w:val="21"/>
          <w:highlight w:val="none"/>
          <w:u w:val="single"/>
          <w:lang w:val="zh-CN"/>
        </w:rPr>
        <w:t xml:space="preserve">            </w:t>
      </w:r>
      <w:r>
        <w:rPr>
          <w:rFonts w:hint="eastAsia" w:hAnsi="宋体" w:cs="宋体-18030"/>
          <w:color w:val="auto"/>
          <w:kern w:val="0"/>
          <w:szCs w:val="21"/>
          <w:highlight w:val="none"/>
          <w:lang w:val="zh-CN"/>
        </w:rPr>
        <w:t>）</w:t>
      </w:r>
      <w:r>
        <w:rPr>
          <w:rFonts w:hint="eastAsia" w:hAnsi="宋体" w:cs="宋体-18030"/>
          <w:color w:val="auto"/>
          <w:kern w:val="0"/>
          <w:szCs w:val="21"/>
          <w:highlight w:val="none"/>
        </w:rPr>
        <w:t>，合同履行期限：</w:t>
      </w:r>
      <w:r>
        <w:rPr>
          <w:rFonts w:hint="eastAsia" w:hAnsi="宋体" w:cs="宋体"/>
          <w:bCs/>
          <w:color w:val="auto"/>
          <w:szCs w:val="21"/>
          <w:highlight w:val="none"/>
          <w:u w:val="single"/>
          <w:lang w:val="zh-CN"/>
        </w:rPr>
        <w:t xml:space="preserve">              </w:t>
      </w:r>
      <w:r>
        <w:rPr>
          <w:rFonts w:hint="eastAsia" w:hAnsi="宋体" w:cs="宋体-18030"/>
          <w:color w:val="auto"/>
          <w:kern w:val="0"/>
          <w:szCs w:val="21"/>
          <w:highlight w:val="none"/>
        </w:rPr>
        <w:t>，质量标准：</w:t>
      </w:r>
      <w:r>
        <w:rPr>
          <w:rFonts w:hint="eastAsia" w:hAnsi="宋体" w:cs="宋体-18030"/>
          <w:color w:val="auto"/>
          <w:kern w:val="0"/>
          <w:szCs w:val="21"/>
          <w:highlight w:val="none"/>
          <w:u w:val="single"/>
        </w:rPr>
        <w:t xml:space="preserve">            </w:t>
      </w:r>
      <w:r>
        <w:rPr>
          <w:rFonts w:hint="eastAsia" w:hAnsi="宋体" w:cs="宋体-18030"/>
          <w:color w:val="auto"/>
          <w:kern w:val="0"/>
          <w:szCs w:val="21"/>
          <w:highlight w:val="none"/>
        </w:rPr>
        <w:t>，并按合同约定实施和完成上述招标项目。</w:t>
      </w:r>
    </w:p>
    <w:p w14:paraId="578B9491">
      <w:pPr>
        <w:ind w:firstLine="420"/>
        <w:rPr>
          <w:color w:val="auto"/>
          <w:highlight w:val="none"/>
        </w:rPr>
      </w:pPr>
      <w:r>
        <w:rPr>
          <w:rFonts w:hint="eastAsia" w:hAnsi="宋体" w:cs="宋体-18030"/>
          <w:color w:val="auto"/>
          <w:kern w:val="0"/>
          <w:szCs w:val="21"/>
          <w:highlight w:val="none"/>
        </w:rPr>
        <w:t>2</w:t>
      </w:r>
      <w:r>
        <w:rPr>
          <w:rFonts w:hint="eastAsia"/>
          <w:color w:val="auto"/>
          <w:highlight w:val="none"/>
        </w:rPr>
        <w:t>.我方承诺在投标有效期90天内不修改、撤销投标文件。</w:t>
      </w:r>
    </w:p>
    <w:p w14:paraId="0DECC9D5">
      <w:pPr>
        <w:ind w:firstLine="420"/>
        <w:rPr>
          <w:color w:val="auto"/>
          <w:highlight w:val="none"/>
        </w:rPr>
      </w:pPr>
      <w:r>
        <w:rPr>
          <w:rFonts w:hint="eastAsia"/>
          <w:color w:val="auto"/>
          <w:highlight w:val="none"/>
        </w:rPr>
        <w:t>3.如我方</w:t>
      </w:r>
      <w:r>
        <w:rPr>
          <w:rFonts w:hint="eastAsia"/>
          <w:color w:val="auto"/>
          <w:highlight w:val="none"/>
          <w:lang w:eastAsia="zh-CN"/>
        </w:rPr>
        <w:t>中标</w:t>
      </w:r>
      <w:r>
        <w:rPr>
          <w:rFonts w:hint="eastAsia"/>
          <w:color w:val="auto"/>
          <w:highlight w:val="none"/>
        </w:rPr>
        <w:t>：</w:t>
      </w:r>
    </w:p>
    <w:p w14:paraId="0B0DF9B0">
      <w:pPr>
        <w:ind w:firstLine="420"/>
        <w:rPr>
          <w:color w:val="auto"/>
          <w:highlight w:val="none"/>
        </w:rPr>
      </w:pPr>
      <w:r>
        <w:rPr>
          <w:rFonts w:hint="eastAsia"/>
          <w:color w:val="auto"/>
          <w:highlight w:val="none"/>
        </w:rPr>
        <w:t>（1）我方承诺在收到</w:t>
      </w:r>
      <w:r>
        <w:rPr>
          <w:rFonts w:hint="eastAsia"/>
          <w:color w:val="auto"/>
          <w:highlight w:val="none"/>
          <w:lang w:eastAsia="zh-CN"/>
        </w:rPr>
        <w:t>中标</w:t>
      </w:r>
      <w:r>
        <w:rPr>
          <w:rFonts w:hint="eastAsia"/>
          <w:color w:val="auto"/>
          <w:highlight w:val="none"/>
        </w:rPr>
        <w:t>通知书后，在</w:t>
      </w:r>
      <w:r>
        <w:rPr>
          <w:rFonts w:hint="eastAsia"/>
          <w:color w:val="auto"/>
          <w:highlight w:val="none"/>
          <w:lang w:eastAsia="zh-CN"/>
        </w:rPr>
        <w:t>中标</w:t>
      </w:r>
      <w:r>
        <w:rPr>
          <w:rFonts w:hint="eastAsia"/>
          <w:color w:val="auto"/>
          <w:highlight w:val="none"/>
        </w:rPr>
        <w:t>通知书规定的期限内与你方签订合同，并遵守合同中关于权利和义务的约定；</w:t>
      </w:r>
    </w:p>
    <w:p w14:paraId="08EAD7AD">
      <w:pPr>
        <w:ind w:firstLine="420"/>
        <w:rPr>
          <w:color w:val="auto"/>
          <w:highlight w:val="none"/>
        </w:rPr>
      </w:pPr>
      <w:r>
        <w:rPr>
          <w:rFonts w:hint="eastAsia"/>
          <w:color w:val="auto"/>
          <w:highlight w:val="none"/>
        </w:rPr>
        <w:t>（2）我方承诺按照招标文件中规定的服务内容及要求在合同约定的期限内，完成并移交全部合同内容。</w:t>
      </w:r>
    </w:p>
    <w:p w14:paraId="5B40C24E">
      <w:pPr>
        <w:ind w:firstLine="420"/>
        <w:rPr>
          <w:color w:val="auto"/>
          <w:highlight w:val="none"/>
        </w:rPr>
      </w:pPr>
      <w:r>
        <w:rPr>
          <w:rFonts w:hint="eastAsia"/>
          <w:color w:val="auto"/>
          <w:highlight w:val="none"/>
        </w:rPr>
        <w:t>4.我方在此声明，所递交的投标文件及有关资料内容完整、真实和准确。</w:t>
      </w:r>
    </w:p>
    <w:p w14:paraId="6F018BC6">
      <w:pPr>
        <w:ind w:firstLine="420"/>
        <w:rPr>
          <w:color w:val="auto"/>
          <w:highlight w:val="none"/>
        </w:rPr>
      </w:pPr>
      <w:r>
        <w:rPr>
          <w:rFonts w:hint="eastAsia"/>
          <w:color w:val="auto"/>
          <w:highlight w:val="none"/>
        </w:rPr>
        <w:t>5．</w:t>
      </w:r>
      <w:r>
        <w:rPr>
          <w:rFonts w:hint="eastAsia"/>
          <w:color w:val="auto"/>
          <w:highlight w:val="none"/>
          <w:u w:val="single"/>
        </w:rPr>
        <w:t xml:space="preserve">                                </w:t>
      </w:r>
      <w:r>
        <w:rPr>
          <w:rFonts w:hint="eastAsia"/>
          <w:color w:val="auto"/>
          <w:highlight w:val="none"/>
        </w:rPr>
        <w:t>（其他补充说明）。</w:t>
      </w:r>
    </w:p>
    <w:p w14:paraId="6DAE0019">
      <w:pPr>
        <w:ind w:firstLine="420"/>
        <w:rPr>
          <w:color w:val="auto"/>
          <w:highlight w:val="none"/>
        </w:rPr>
      </w:pPr>
    </w:p>
    <w:p w14:paraId="6F323F07">
      <w:pPr>
        <w:ind w:firstLine="420"/>
        <w:rPr>
          <w:color w:val="auto"/>
          <w:highlight w:val="none"/>
        </w:rPr>
      </w:pPr>
    </w:p>
    <w:p w14:paraId="0147C5DD">
      <w:pPr>
        <w:ind w:firstLine="420"/>
        <w:rPr>
          <w:color w:val="auto"/>
          <w:highlight w:val="none"/>
        </w:rPr>
      </w:pPr>
    </w:p>
    <w:p w14:paraId="7AF1ACA1">
      <w:pPr>
        <w:ind w:firstLine="420"/>
        <w:rPr>
          <w:color w:val="auto"/>
          <w:highlight w:val="none"/>
        </w:rPr>
      </w:pPr>
    </w:p>
    <w:p w14:paraId="48696A37">
      <w:pPr>
        <w:ind w:firstLine="420"/>
        <w:rPr>
          <w:color w:val="auto"/>
          <w:highlight w:val="none"/>
        </w:rPr>
      </w:pPr>
    </w:p>
    <w:p w14:paraId="0279AECC">
      <w:pPr>
        <w:ind w:firstLine="420"/>
        <w:rPr>
          <w:color w:val="auto"/>
          <w:highlight w:val="none"/>
        </w:rPr>
      </w:pPr>
    </w:p>
    <w:p w14:paraId="5618FE58">
      <w:pPr>
        <w:ind w:firstLine="420"/>
        <w:rPr>
          <w:color w:val="auto"/>
          <w:highlight w:val="none"/>
        </w:rPr>
      </w:pPr>
    </w:p>
    <w:p w14:paraId="0685A0DC">
      <w:pPr>
        <w:ind w:firstLine="1680" w:firstLineChars="800"/>
        <w:rPr>
          <w:color w:val="auto"/>
          <w:highlight w:val="none"/>
        </w:rPr>
      </w:pPr>
      <w:r>
        <w:rPr>
          <w:rFonts w:hint="eastAsia"/>
          <w:color w:val="auto"/>
          <w:highlight w:val="none"/>
          <w:lang w:val="en-US" w:eastAsia="zh-CN"/>
        </w:rPr>
        <w:t>投标人</w:t>
      </w:r>
      <w:r>
        <w:rPr>
          <w:rFonts w:hint="eastAsia"/>
          <w:color w:val="auto"/>
          <w:highlight w:val="none"/>
          <w:lang w:val="zh-CN"/>
        </w:rPr>
        <w:t>名称（加盖公章）：</w:t>
      </w:r>
      <w:r>
        <w:rPr>
          <w:rFonts w:hint="eastAsia"/>
          <w:color w:val="auto"/>
          <w:highlight w:val="none"/>
          <w:u w:val="single"/>
          <w:lang w:val="zh-CN"/>
        </w:rPr>
        <w:t xml:space="preserve">                      </w:t>
      </w:r>
      <w:r>
        <w:rPr>
          <w:rFonts w:hint="eastAsia"/>
          <w:color w:val="auto"/>
          <w:highlight w:val="none"/>
          <w:u w:val="single"/>
        </w:rPr>
        <w:t xml:space="preserve">  </w:t>
      </w:r>
    </w:p>
    <w:p w14:paraId="7DEFDC36">
      <w:pPr>
        <w:ind w:firstLine="1680" w:firstLineChars="800"/>
        <w:rPr>
          <w:color w:val="auto"/>
          <w:highlight w:val="none"/>
        </w:rPr>
      </w:pPr>
      <w:r>
        <w:rPr>
          <w:rFonts w:hint="eastAsia"/>
          <w:color w:val="auto"/>
          <w:highlight w:val="none"/>
          <w:lang w:val="en-US" w:eastAsia="zh-CN"/>
        </w:rPr>
        <w:t>投标人</w:t>
      </w:r>
      <w:r>
        <w:rPr>
          <w:rFonts w:hint="eastAsia"/>
          <w:color w:val="auto"/>
          <w:highlight w:val="none"/>
          <w:lang w:val="zh-CN"/>
        </w:rPr>
        <w:t>法定代表人或授权委托人（签字）：</w:t>
      </w:r>
      <w:r>
        <w:rPr>
          <w:rFonts w:hint="eastAsia"/>
          <w:color w:val="auto"/>
          <w:highlight w:val="none"/>
          <w:u w:val="single"/>
        </w:rPr>
        <w:t xml:space="preserve">          </w:t>
      </w:r>
    </w:p>
    <w:p w14:paraId="7C3A913E">
      <w:pPr>
        <w:ind w:firstLine="1680" w:firstLineChars="800"/>
        <w:rPr>
          <w:color w:val="auto"/>
          <w:highlight w:val="none"/>
        </w:rPr>
      </w:pPr>
      <w:r>
        <w:rPr>
          <w:rFonts w:hint="eastAsia"/>
          <w:color w:val="auto"/>
          <w:highlight w:val="none"/>
          <w:lang w:val="zh-CN"/>
        </w:rPr>
        <w:t>地址：</w:t>
      </w:r>
      <w:r>
        <w:rPr>
          <w:rFonts w:hint="eastAsia"/>
          <w:color w:val="auto"/>
          <w:highlight w:val="none"/>
          <w:u w:val="single"/>
          <w:lang w:val="zh-CN"/>
        </w:rPr>
        <w:t xml:space="preserve">                                       </w:t>
      </w:r>
      <w:r>
        <w:rPr>
          <w:rFonts w:hint="eastAsia"/>
          <w:color w:val="auto"/>
          <w:highlight w:val="none"/>
          <w:u w:val="single"/>
        </w:rPr>
        <w:t xml:space="preserve">   </w:t>
      </w:r>
    </w:p>
    <w:p w14:paraId="3BBF311D">
      <w:pPr>
        <w:ind w:firstLine="1680" w:firstLineChars="800"/>
        <w:rPr>
          <w:color w:val="auto"/>
          <w:highlight w:val="none"/>
          <w:lang w:val="zh-CN"/>
        </w:rPr>
      </w:pPr>
      <w:r>
        <w:rPr>
          <w:rFonts w:hint="eastAsia"/>
          <w:color w:val="auto"/>
          <w:highlight w:val="none"/>
          <w:lang w:val="zh-CN"/>
        </w:rPr>
        <w:t>电话：</w:t>
      </w:r>
      <w:r>
        <w:rPr>
          <w:rFonts w:hint="eastAsia"/>
          <w:color w:val="auto"/>
          <w:highlight w:val="none"/>
          <w:u w:val="single"/>
          <w:lang w:val="zh-CN"/>
        </w:rPr>
        <w:t xml:space="preserve">                                          </w:t>
      </w:r>
    </w:p>
    <w:p w14:paraId="59432A3D">
      <w:pPr>
        <w:ind w:firstLine="1680" w:firstLineChars="800"/>
        <w:rPr>
          <w:color w:val="auto"/>
          <w:highlight w:val="none"/>
          <w:lang w:val="zh-CN"/>
        </w:rPr>
      </w:pPr>
      <w:r>
        <w:rPr>
          <w:rFonts w:hint="eastAsia"/>
          <w:color w:val="auto"/>
          <w:highlight w:val="none"/>
          <w:lang w:val="zh-CN"/>
        </w:rPr>
        <w:t>日期：</w:t>
      </w:r>
      <w:r>
        <w:rPr>
          <w:rFonts w:hint="eastAsia"/>
          <w:color w:val="auto"/>
          <w:highlight w:val="none"/>
          <w:u w:val="single"/>
          <w:lang w:val="zh-CN"/>
        </w:rPr>
        <w:t xml:space="preserve">         </w:t>
      </w:r>
      <w:r>
        <w:rPr>
          <w:rFonts w:hint="eastAsia"/>
          <w:color w:val="auto"/>
          <w:highlight w:val="none"/>
          <w:lang w:val="zh-CN"/>
        </w:rPr>
        <w:t>年</w:t>
      </w:r>
      <w:r>
        <w:rPr>
          <w:rFonts w:hint="eastAsia"/>
          <w:color w:val="auto"/>
          <w:highlight w:val="none"/>
          <w:u w:val="single"/>
          <w:lang w:val="zh-CN"/>
        </w:rPr>
        <w:t xml:space="preserve">    </w:t>
      </w:r>
      <w:r>
        <w:rPr>
          <w:rFonts w:hint="eastAsia"/>
          <w:color w:val="auto"/>
          <w:highlight w:val="none"/>
          <w:lang w:val="zh-CN"/>
        </w:rPr>
        <w:t>月</w:t>
      </w:r>
      <w:r>
        <w:rPr>
          <w:rFonts w:hint="eastAsia"/>
          <w:color w:val="auto"/>
          <w:highlight w:val="none"/>
          <w:u w:val="single"/>
          <w:lang w:val="zh-CN"/>
        </w:rPr>
        <w:t xml:space="preserve"> </w:t>
      </w:r>
      <w:r>
        <w:rPr>
          <w:rFonts w:hint="eastAsia"/>
          <w:color w:val="auto"/>
          <w:highlight w:val="none"/>
          <w:u w:val="single"/>
        </w:rPr>
        <w:t xml:space="preserve"> </w:t>
      </w:r>
      <w:r>
        <w:rPr>
          <w:rFonts w:hint="eastAsia"/>
          <w:color w:val="auto"/>
          <w:highlight w:val="none"/>
          <w:u w:val="single"/>
          <w:lang w:val="zh-CN"/>
        </w:rPr>
        <w:t xml:space="preserve">  </w:t>
      </w:r>
      <w:r>
        <w:rPr>
          <w:rFonts w:hint="eastAsia"/>
          <w:color w:val="auto"/>
          <w:highlight w:val="none"/>
          <w:lang w:val="zh-CN"/>
        </w:rPr>
        <w:t>日</w:t>
      </w:r>
    </w:p>
    <w:p w14:paraId="65D6A131">
      <w:pPr>
        <w:ind w:firstLine="420"/>
        <w:rPr>
          <w:color w:val="auto"/>
          <w:highlight w:val="none"/>
          <w:lang w:val="zh-CN"/>
        </w:rPr>
      </w:pPr>
    </w:p>
    <w:p w14:paraId="02956287">
      <w:pPr>
        <w:ind w:firstLine="420"/>
        <w:rPr>
          <w:color w:val="auto"/>
          <w:highlight w:val="none"/>
          <w:lang w:val="zh-CN"/>
        </w:rPr>
      </w:pPr>
    </w:p>
    <w:p w14:paraId="0EF1656E">
      <w:pPr>
        <w:bidi w:val="0"/>
        <w:rPr>
          <w:rFonts w:hint="eastAsia"/>
          <w:color w:val="auto"/>
          <w:highlight w:val="none"/>
          <w:lang w:val="en-US" w:eastAsia="zh-CN"/>
        </w:rPr>
      </w:pPr>
      <w:bookmarkStart w:id="134" w:name="_Toc30876"/>
      <w:bookmarkStart w:id="135" w:name="_Toc70330937"/>
    </w:p>
    <w:p w14:paraId="042A7767">
      <w:pPr>
        <w:pStyle w:val="3"/>
        <w:jc w:val="center"/>
        <w:rPr>
          <w:rFonts w:hint="eastAsia" w:ascii="宋体" w:hAnsi="宋体" w:eastAsia="宋体" w:cs="宋体"/>
          <w:b/>
          <w:bCs w:val="0"/>
          <w:color w:val="auto"/>
          <w:kern w:val="0"/>
          <w:sz w:val="32"/>
          <w:szCs w:val="32"/>
          <w:highlight w:val="none"/>
          <w:lang w:val="zh-CN" w:eastAsia="zh-CN" w:bidi="ar-SA"/>
        </w:rPr>
      </w:pPr>
      <w:bookmarkStart w:id="136" w:name="_Toc17723"/>
      <w:r>
        <w:rPr>
          <w:rFonts w:hint="eastAsia" w:ascii="宋体" w:hAnsi="宋体" w:eastAsia="宋体" w:cs="宋体"/>
          <w:b/>
          <w:bCs w:val="0"/>
          <w:color w:val="auto"/>
          <w:kern w:val="0"/>
          <w:sz w:val="32"/>
          <w:szCs w:val="32"/>
          <w:highlight w:val="none"/>
          <w:lang w:val="en-US" w:eastAsia="zh-CN" w:bidi="ar-SA"/>
        </w:rPr>
        <w:t>二、</w:t>
      </w:r>
      <w:r>
        <w:rPr>
          <w:rFonts w:hint="eastAsia" w:ascii="宋体" w:hAnsi="宋体" w:eastAsia="宋体" w:cs="宋体"/>
          <w:b/>
          <w:bCs w:val="0"/>
          <w:color w:val="auto"/>
          <w:kern w:val="0"/>
          <w:sz w:val="32"/>
          <w:szCs w:val="32"/>
          <w:highlight w:val="none"/>
          <w:lang w:val="zh-CN" w:eastAsia="zh-CN" w:bidi="ar-SA"/>
        </w:rPr>
        <w:t>法定代表人身份证明</w:t>
      </w:r>
      <w:bookmarkEnd w:id="134"/>
      <w:bookmarkEnd w:id="135"/>
      <w:bookmarkEnd w:id="136"/>
    </w:p>
    <w:p w14:paraId="3791179A">
      <w:pPr>
        <w:ind w:firstLine="420"/>
        <w:rPr>
          <w:rFonts w:hint="eastAsia"/>
          <w:color w:val="auto"/>
          <w:highlight w:val="none"/>
          <w:lang w:val="zh-CN"/>
        </w:rPr>
      </w:pPr>
    </w:p>
    <w:p w14:paraId="2EFFAA4F">
      <w:pPr>
        <w:autoSpaceDE w:val="0"/>
        <w:autoSpaceDN w:val="0"/>
        <w:ind w:firstLine="420"/>
        <w:rPr>
          <w:rFonts w:hint="eastAsia" w:hAnsi="宋体" w:cs="宋体"/>
          <w:color w:val="auto"/>
          <w:szCs w:val="21"/>
          <w:highlight w:val="none"/>
          <w:u w:val="single"/>
          <w:lang w:val="zh-CN"/>
        </w:rPr>
      </w:pPr>
      <w:r>
        <w:rPr>
          <w:rFonts w:hint="eastAsia" w:hAnsi="宋体" w:cs="宋体"/>
          <w:color w:val="auto"/>
          <w:szCs w:val="21"/>
          <w:highlight w:val="none"/>
          <w:lang w:val="en-US" w:eastAsia="zh-CN"/>
        </w:rPr>
        <w:t>投标人</w:t>
      </w:r>
      <w:r>
        <w:rPr>
          <w:rFonts w:hint="eastAsia" w:hAnsi="宋体" w:cs="宋体"/>
          <w:color w:val="auto"/>
          <w:szCs w:val="21"/>
          <w:highlight w:val="none"/>
          <w:lang w:val="zh-CN"/>
        </w:rPr>
        <w:t>名称：</w:t>
      </w:r>
      <w:r>
        <w:rPr>
          <w:rFonts w:hint="eastAsia" w:hAnsi="宋体" w:cs="宋体"/>
          <w:color w:val="auto"/>
          <w:szCs w:val="21"/>
          <w:highlight w:val="none"/>
          <w:u w:val="single"/>
          <w:lang w:val="zh-CN"/>
        </w:rPr>
        <w:t xml:space="preserve">                 </w:t>
      </w:r>
      <w:r>
        <w:rPr>
          <w:rFonts w:hint="eastAsia" w:hAnsi="宋体" w:cs="宋体"/>
          <w:color w:val="auto"/>
          <w:szCs w:val="21"/>
          <w:highlight w:val="none"/>
          <w:u w:val="single"/>
        </w:rPr>
        <w:t xml:space="preserve">                   </w:t>
      </w:r>
      <w:r>
        <w:rPr>
          <w:rFonts w:hint="eastAsia" w:hAnsi="宋体" w:cs="宋体"/>
          <w:color w:val="auto"/>
          <w:szCs w:val="21"/>
          <w:highlight w:val="none"/>
          <w:u w:val="single"/>
          <w:lang w:val="zh-CN"/>
        </w:rPr>
        <w:t xml:space="preserve">        </w:t>
      </w:r>
    </w:p>
    <w:p w14:paraId="722192F6">
      <w:pPr>
        <w:autoSpaceDE w:val="0"/>
        <w:autoSpaceDN w:val="0"/>
        <w:ind w:firstLine="420"/>
        <w:rPr>
          <w:rFonts w:hint="eastAsia" w:hAnsi="宋体" w:cs="宋体"/>
          <w:color w:val="auto"/>
          <w:szCs w:val="21"/>
          <w:highlight w:val="none"/>
          <w:lang w:val="zh-CN"/>
        </w:rPr>
      </w:pPr>
      <w:r>
        <w:rPr>
          <w:rFonts w:hint="eastAsia" w:hAnsi="宋体" w:cs="宋体"/>
          <w:color w:val="auto"/>
          <w:szCs w:val="21"/>
          <w:highlight w:val="none"/>
          <w:lang w:val="zh-CN"/>
        </w:rPr>
        <w:t>单位性质：</w:t>
      </w:r>
      <w:r>
        <w:rPr>
          <w:rFonts w:hint="eastAsia" w:hAnsi="宋体" w:cs="宋体"/>
          <w:color w:val="auto"/>
          <w:szCs w:val="21"/>
          <w:highlight w:val="none"/>
          <w:u w:val="single"/>
          <w:lang w:val="zh-CN"/>
        </w:rPr>
        <w:t xml:space="preserve">                        </w:t>
      </w:r>
      <w:r>
        <w:rPr>
          <w:rFonts w:hint="eastAsia" w:hAnsi="宋体" w:cs="宋体"/>
          <w:color w:val="auto"/>
          <w:szCs w:val="21"/>
          <w:highlight w:val="none"/>
          <w:u w:val="single"/>
        </w:rPr>
        <w:t xml:space="preserve">                   </w:t>
      </w:r>
      <w:r>
        <w:rPr>
          <w:rFonts w:hint="eastAsia" w:hAnsi="宋体" w:cs="宋体"/>
          <w:color w:val="auto"/>
          <w:szCs w:val="21"/>
          <w:highlight w:val="none"/>
          <w:u w:val="single"/>
          <w:lang w:val="zh-CN"/>
        </w:rPr>
        <w:t xml:space="preserve">   </w:t>
      </w:r>
    </w:p>
    <w:p w14:paraId="508DFE60">
      <w:pPr>
        <w:autoSpaceDE w:val="0"/>
        <w:autoSpaceDN w:val="0"/>
        <w:ind w:firstLine="420"/>
        <w:rPr>
          <w:rFonts w:hint="eastAsia" w:hAnsi="宋体" w:cs="宋体"/>
          <w:color w:val="auto"/>
          <w:szCs w:val="21"/>
          <w:highlight w:val="none"/>
          <w:u w:val="single"/>
          <w:lang w:val="zh-CN"/>
        </w:rPr>
      </w:pPr>
      <w:r>
        <w:rPr>
          <w:rFonts w:hint="eastAsia" w:hAnsi="宋体" w:cs="宋体"/>
          <w:color w:val="auto"/>
          <w:szCs w:val="21"/>
          <w:highlight w:val="none"/>
          <w:lang w:val="zh-CN"/>
        </w:rPr>
        <w:t>地址：</w:t>
      </w:r>
      <w:r>
        <w:rPr>
          <w:rFonts w:hint="eastAsia" w:hAnsi="宋体" w:cs="宋体"/>
          <w:color w:val="auto"/>
          <w:szCs w:val="21"/>
          <w:highlight w:val="none"/>
          <w:u w:val="single"/>
          <w:lang w:val="zh-CN"/>
        </w:rPr>
        <w:t xml:space="preserve">                              </w:t>
      </w:r>
      <w:r>
        <w:rPr>
          <w:rFonts w:hint="eastAsia" w:hAnsi="宋体" w:cs="宋体"/>
          <w:color w:val="auto"/>
          <w:szCs w:val="21"/>
          <w:highlight w:val="none"/>
          <w:u w:val="single"/>
        </w:rPr>
        <w:t xml:space="preserve">        </w:t>
      </w:r>
      <w:r>
        <w:rPr>
          <w:rFonts w:hint="eastAsia" w:hAnsi="宋体" w:cs="宋体"/>
          <w:color w:val="auto"/>
          <w:szCs w:val="21"/>
          <w:highlight w:val="none"/>
          <w:u w:val="single"/>
          <w:lang w:val="zh-CN"/>
        </w:rPr>
        <w:t xml:space="preserve"> </w:t>
      </w:r>
      <w:r>
        <w:rPr>
          <w:rFonts w:hint="eastAsia" w:hAnsi="宋体" w:cs="宋体"/>
          <w:color w:val="auto"/>
          <w:szCs w:val="21"/>
          <w:highlight w:val="none"/>
          <w:u w:val="single"/>
        </w:rPr>
        <w:t xml:space="preserve">          </w:t>
      </w:r>
      <w:r>
        <w:rPr>
          <w:rFonts w:hint="eastAsia" w:hAnsi="宋体" w:cs="宋体"/>
          <w:color w:val="auto"/>
          <w:szCs w:val="21"/>
          <w:highlight w:val="none"/>
          <w:u w:val="single"/>
          <w:lang w:val="zh-CN"/>
        </w:rPr>
        <w:t xml:space="preserve"> </w:t>
      </w:r>
    </w:p>
    <w:p w14:paraId="121AF8E9">
      <w:pPr>
        <w:autoSpaceDE w:val="0"/>
        <w:autoSpaceDN w:val="0"/>
        <w:ind w:firstLine="420"/>
        <w:rPr>
          <w:rFonts w:hint="eastAsia" w:hAnsi="宋体" w:cs="宋体"/>
          <w:color w:val="auto"/>
          <w:szCs w:val="21"/>
          <w:highlight w:val="none"/>
          <w:lang w:val="zh-CN"/>
        </w:rPr>
      </w:pPr>
      <w:r>
        <w:rPr>
          <w:rFonts w:hint="eastAsia" w:hAnsi="宋体" w:cs="宋体"/>
          <w:color w:val="auto"/>
          <w:szCs w:val="21"/>
          <w:highlight w:val="none"/>
          <w:lang w:val="zh-CN"/>
        </w:rPr>
        <w:t>成立时间：</w:t>
      </w:r>
      <w:r>
        <w:rPr>
          <w:rFonts w:hint="eastAsia" w:hAnsi="宋体" w:cs="宋体"/>
          <w:color w:val="auto"/>
          <w:szCs w:val="21"/>
          <w:highlight w:val="none"/>
          <w:u w:val="single"/>
          <w:lang w:val="zh-CN"/>
        </w:rPr>
        <w:t xml:space="preserve">  </w:t>
      </w:r>
      <w:r>
        <w:rPr>
          <w:rFonts w:hint="eastAsia" w:hAnsi="宋体" w:cs="宋体"/>
          <w:color w:val="auto"/>
          <w:szCs w:val="21"/>
          <w:highlight w:val="none"/>
          <w:u w:val="single"/>
        </w:rPr>
        <w:t xml:space="preserve">   </w:t>
      </w:r>
      <w:r>
        <w:rPr>
          <w:rFonts w:hint="eastAsia" w:hAnsi="宋体" w:cs="宋体"/>
          <w:color w:val="auto"/>
          <w:szCs w:val="21"/>
          <w:highlight w:val="none"/>
          <w:u w:val="single"/>
          <w:lang w:val="zh-CN"/>
        </w:rPr>
        <w:t xml:space="preserve">      </w:t>
      </w:r>
      <w:r>
        <w:rPr>
          <w:rFonts w:hint="eastAsia" w:hAnsi="宋体" w:cs="宋体"/>
          <w:color w:val="auto"/>
          <w:szCs w:val="21"/>
          <w:highlight w:val="none"/>
          <w:lang w:val="zh-CN"/>
        </w:rPr>
        <w:t>年</w:t>
      </w:r>
      <w:r>
        <w:rPr>
          <w:rFonts w:hint="eastAsia" w:hAnsi="宋体" w:cs="宋体"/>
          <w:color w:val="auto"/>
          <w:szCs w:val="21"/>
          <w:highlight w:val="none"/>
          <w:u w:val="single"/>
          <w:lang w:val="zh-CN"/>
        </w:rPr>
        <w:t xml:space="preserve">    </w:t>
      </w:r>
      <w:r>
        <w:rPr>
          <w:rFonts w:hint="eastAsia" w:hAnsi="宋体" w:cs="宋体"/>
          <w:color w:val="auto"/>
          <w:szCs w:val="21"/>
          <w:highlight w:val="none"/>
          <w:u w:val="single"/>
        </w:rPr>
        <w:t xml:space="preserve">    </w:t>
      </w:r>
      <w:r>
        <w:rPr>
          <w:rFonts w:hint="eastAsia" w:hAnsi="宋体" w:cs="宋体"/>
          <w:color w:val="auto"/>
          <w:szCs w:val="21"/>
          <w:highlight w:val="none"/>
          <w:lang w:val="zh-CN"/>
        </w:rPr>
        <w:t>月</w:t>
      </w:r>
      <w:r>
        <w:rPr>
          <w:rFonts w:hint="eastAsia" w:hAnsi="宋体" w:cs="宋体"/>
          <w:color w:val="auto"/>
          <w:szCs w:val="21"/>
          <w:highlight w:val="none"/>
          <w:u w:val="single"/>
          <w:lang w:val="zh-CN"/>
        </w:rPr>
        <w:t xml:space="preserve">       </w:t>
      </w:r>
      <w:r>
        <w:rPr>
          <w:rFonts w:hint="eastAsia" w:hAnsi="宋体" w:cs="宋体"/>
          <w:color w:val="auto"/>
          <w:szCs w:val="21"/>
          <w:highlight w:val="none"/>
          <w:lang w:val="zh-CN"/>
        </w:rPr>
        <w:t>日</w:t>
      </w:r>
    </w:p>
    <w:p w14:paraId="30F7518E">
      <w:pPr>
        <w:autoSpaceDE w:val="0"/>
        <w:autoSpaceDN w:val="0"/>
        <w:ind w:firstLine="420"/>
        <w:rPr>
          <w:rFonts w:hint="eastAsia" w:hAnsi="宋体" w:cs="宋体"/>
          <w:color w:val="auto"/>
          <w:szCs w:val="21"/>
          <w:highlight w:val="none"/>
          <w:lang w:val="zh-CN"/>
        </w:rPr>
      </w:pPr>
      <w:r>
        <w:rPr>
          <w:rFonts w:hint="eastAsia" w:hAnsi="宋体" w:cs="宋体"/>
          <w:color w:val="auto"/>
          <w:szCs w:val="21"/>
          <w:highlight w:val="none"/>
          <w:lang w:val="zh-CN"/>
        </w:rPr>
        <w:t>经营期限：</w:t>
      </w:r>
      <w:r>
        <w:rPr>
          <w:rFonts w:hint="eastAsia" w:hAnsi="宋体" w:cs="宋体"/>
          <w:color w:val="auto"/>
          <w:szCs w:val="21"/>
          <w:highlight w:val="none"/>
          <w:u w:val="single"/>
          <w:lang w:val="zh-CN"/>
        </w:rPr>
        <w:t xml:space="preserve">                                </w:t>
      </w:r>
    </w:p>
    <w:p w14:paraId="3BB86BCC">
      <w:pPr>
        <w:autoSpaceDE w:val="0"/>
        <w:autoSpaceDN w:val="0"/>
        <w:ind w:firstLine="420"/>
        <w:rPr>
          <w:rFonts w:hint="eastAsia" w:hAnsi="宋体" w:cs="宋体"/>
          <w:color w:val="auto"/>
          <w:szCs w:val="21"/>
          <w:highlight w:val="none"/>
          <w:lang w:val="zh-CN"/>
        </w:rPr>
      </w:pPr>
      <w:r>
        <w:rPr>
          <w:rFonts w:hint="eastAsia" w:hAnsi="宋体" w:cs="宋体"/>
          <w:color w:val="auto"/>
          <w:szCs w:val="21"/>
          <w:highlight w:val="none"/>
          <w:lang w:val="zh-CN"/>
        </w:rPr>
        <w:t>姓名：</w:t>
      </w:r>
      <w:r>
        <w:rPr>
          <w:rFonts w:hint="eastAsia" w:hAnsi="宋体" w:cs="宋体"/>
          <w:color w:val="auto"/>
          <w:szCs w:val="21"/>
          <w:highlight w:val="none"/>
          <w:u w:val="single"/>
          <w:lang w:val="zh-CN"/>
        </w:rPr>
        <w:t xml:space="preserve">       </w:t>
      </w:r>
      <w:r>
        <w:rPr>
          <w:rFonts w:hint="eastAsia" w:hAnsi="宋体" w:cs="宋体"/>
          <w:color w:val="auto"/>
          <w:szCs w:val="21"/>
          <w:highlight w:val="none"/>
          <w:lang w:val="zh-CN"/>
        </w:rPr>
        <w:t xml:space="preserve"> 性别：</w:t>
      </w:r>
      <w:r>
        <w:rPr>
          <w:rFonts w:hint="eastAsia" w:hAnsi="宋体" w:cs="宋体"/>
          <w:color w:val="auto"/>
          <w:szCs w:val="21"/>
          <w:highlight w:val="none"/>
          <w:u w:val="single"/>
          <w:lang w:val="zh-CN"/>
        </w:rPr>
        <w:t xml:space="preserve">      </w:t>
      </w:r>
      <w:r>
        <w:rPr>
          <w:rFonts w:hint="eastAsia" w:hAnsi="宋体" w:cs="宋体"/>
          <w:color w:val="auto"/>
          <w:szCs w:val="21"/>
          <w:highlight w:val="none"/>
          <w:lang w:val="zh-CN"/>
        </w:rPr>
        <w:t xml:space="preserve"> 年龄：</w:t>
      </w:r>
      <w:r>
        <w:rPr>
          <w:rFonts w:hint="eastAsia" w:hAnsi="宋体" w:cs="宋体"/>
          <w:color w:val="auto"/>
          <w:szCs w:val="21"/>
          <w:highlight w:val="none"/>
          <w:u w:val="single"/>
          <w:lang w:val="zh-CN"/>
        </w:rPr>
        <w:t xml:space="preserve">      </w:t>
      </w:r>
      <w:r>
        <w:rPr>
          <w:rFonts w:hint="eastAsia" w:hAnsi="宋体" w:cs="宋体"/>
          <w:color w:val="auto"/>
          <w:szCs w:val="21"/>
          <w:highlight w:val="none"/>
          <w:lang w:val="zh-CN"/>
        </w:rPr>
        <w:t xml:space="preserve"> 职务：</w:t>
      </w:r>
      <w:r>
        <w:rPr>
          <w:rFonts w:hint="eastAsia" w:hAnsi="宋体" w:cs="宋体"/>
          <w:color w:val="auto"/>
          <w:szCs w:val="21"/>
          <w:highlight w:val="none"/>
          <w:u w:val="single"/>
          <w:lang w:val="zh-CN"/>
        </w:rPr>
        <w:t xml:space="preserve">           </w:t>
      </w:r>
    </w:p>
    <w:p w14:paraId="4C559EB9">
      <w:pPr>
        <w:autoSpaceDE w:val="0"/>
        <w:autoSpaceDN w:val="0"/>
        <w:ind w:firstLine="420"/>
        <w:rPr>
          <w:rFonts w:hint="eastAsia" w:hAnsi="宋体" w:cs="宋体"/>
          <w:color w:val="auto"/>
          <w:szCs w:val="21"/>
          <w:highlight w:val="none"/>
          <w:lang w:val="zh-CN"/>
        </w:rPr>
      </w:pPr>
      <w:r>
        <w:rPr>
          <w:rFonts w:hint="eastAsia" w:hAnsi="宋体" w:cs="宋体"/>
          <w:color w:val="auto"/>
          <w:szCs w:val="21"/>
          <w:highlight w:val="none"/>
          <w:lang w:val="zh-CN"/>
        </w:rPr>
        <w:t>系</w:t>
      </w:r>
      <w:r>
        <w:rPr>
          <w:rFonts w:hint="eastAsia" w:hAnsi="宋体" w:cs="宋体"/>
          <w:color w:val="auto"/>
          <w:szCs w:val="21"/>
          <w:highlight w:val="none"/>
          <w:u w:val="single"/>
          <w:lang w:val="zh-CN"/>
        </w:rPr>
        <w:t xml:space="preserve">                </w:t>
      </w:r>
      <w:r>
        <w:rPr>
          <w:rFonts w:hint="eastAsia" w:hAnsi="宋体" w:cs="宋体"/>
          <w:color w:val="auto"/>
          <w:szCs w:val="21"/>
          <w:highlight w:val="none"/>
          <w:u w:val="single"/>
        </w:rPr>
        <w:t xml:space="preserve">        </w:t>
      </w:r>
      <w:r>
        <w:rPr>
          <w:rFonts w:hint="eastAsia" w:hAnsi="宋体" w:cs="宋体"/>
          <w:color w:val="auto"/>
          <w:szCs w:val="21"/>
          <w:highlight w:val="none"/>
          <w:u w:val="single"/>
          <w:lang w:val="zh-CN"/>
        </w:rPr>
        <w:t xml:space="preserve">      </w:t>
      </w:r>
      <w:r>
        <w:rPr>
          <w:rFonts w:hint="eastAsia" w:hAnsi="宋体" w:cs="宋体"/>
          <w:color w:val="auto"/>
          <w:szCs w:val="21"/>
          <w:highlight w:val="none"/>
          <w:lang w:val="zh-CN"/>
        </w:rPr>
        <w:t>(投标人名称)的法定代表人。</w:t>
      </w:r>
    </w:p>
    <w:p w14:paraId="21A360AF">
      <w:pPr>
        <w:autoSpaceDE w:val="0"/>
        <w:autoSpaceDN w:val="0"/>
        <w:ind w:firstLine="420"/>
        <w:rPr>
          <w:rFonts w:hint="eastAsia" w:hAnsi="宋体" w:cs="宋体"/>
          <w:color w:val="auto"/>
          <w:szCs w:val="21"/>
          <w:highlight w:val="none"/>
          <w:lang w:val="zh-CN"/>
        </w:rPr>
      </w:pPr>
      <w:r>
        <w:rPr>
          <w:rFonts w:hint="eastAsia" w:hAnsi="宋体" w:cs="宋体"/>
          <w:color w:val="auto"/>
          <w:szCs w:val="21"/>
          <w:highlight w:val="none"/>
          <w:lang w:val="zh-CN"/>
        </w:rPr>
        <w:t xml:space="preserve">    特此证明。</w:t>
      </w:r>
    </w:p>
    <w:p w14:paraId="3939641C">
      <w:pPr>
        <w:ind w:firstLine="420"/>
        <w:rPr>
          <w:rFonts w:hint="eastAsia"/>
          <w:color w:val="auto"/>
          <w:highlight w:val="none"/>
          <w:lang w:val="zh-CN"/>
        </w:rPr>
      </w:pPr>
    </w:p>
    <w:p w14:paraId="0CFD22DD">
      <w:pPr>
        <w:ind w:firstLine="420"/>
        <w:rPr>
          <w:rFonts w:hint="eastAsia"/>
          <w:color w:val="auto"/>
          <w:highlight w:val="none"/>
        </w:rPr>
      </w:pPr>
      <w:r>
        <w:rPr>
          <w:rFonts w:hint="eastAsia"/>
          <w:color w:val="auto"/>
          <w:highlight w:val="none"/>
        </w:rPr>
        <w:t>后附：法定代表人身份证复印件加盖公章。</w:t>
      </w:r>
    </w:p>
    <w:p w14:paraId="29CB155B">
      <w:pPr>
        <w:ind w:firstLine="420"/>
        <w:rPr>
          <w:rFonts w:hint="eastAsia"/>
          <w:color w:val="auto"/>
          <w:highlight w:val="none"/>
          <w:lang w:val="zh-CN"/>
        </w:rPr>
      </w:pPr>
    </w:p>
    <w:p w14:paraId="50E05EAE">
      <w:pPr>
        <w:ind w:firstLine="420"/>
        <w:rPr>
          <w:rFonts w:hint="eastAsia"/>
          <w:color w:val="auto"/>
          <w:highlight w:val="none"/>
          <w:lang w:val="zh-CN"/>
        </w:rPr>
      </w:pPr>
    </w:p>
    <w:p w14:paraId="1C4F6020">
      <w:pPr>
        <w:ind w:firstLine="420"/>
        <w:rPr>
          <w:rFonts w:hint="eastAsia"/>
          <w:color w:val="auto"/>
          <w:highlight w:val="none"/>
          <w:lang w:val="zh-CN"/>
        </w:rPr>
      </w:pPr>
    </w:p>
    <w:p w14:paraId="47F9A89F">
      <w:pPr>
        <w:ind w:firstLine="420"/>
        <w:rPr>
          <w:rFonts w:hint="eastAsia"/>
          <w:color w:val="auto"/>
          <w:highlight w:val="none"/>
          <w:lang w:val="zh-CN"/>
        </w:rPr>
      </w:pPr>
    </w:p>
    <w:p w14:paraId="7264670D">
      <w:pPr>
        <w:ind w:firstLine="420"/>
        <w:rPr>
          <w:rFonts w:hint="eastAsia"/>
          <w:color w:val="auto"/>
          <w:highlight w:val="none"/>
          <w:lang w:val="zh-CN"/>
        </w:rPr>
      </w:pPr>
    </w:p>
    <w:p w14:paraId="2A3A3390">
      <w:pPr>
        <w:ind w:firstLine="420"/>
        <w:rPr>
          <w:rFonts w:hint="eastAsia"/>
          <w:color w:val="auto"/>
          <w:highlight w:val="none"/>
          <w:lang w:val="zh-CN"/>
        </w:rPr>
      </w:pPr>
    </w:p>
    <w:p w14:paraId="34291716">
      <w:pPr>
        <w:ind w:firstLine="420"/>
        <w:rPr>
          <w:rFonts w:hint="eastAsia"/>
          <w:color w:val="auto"/>
          <w:highlight w:val="none"/>
          <w:lang w:val="zh-CN"/>
        </w:rPr>
      </w:pPr>
    </w:p>
    <w:p w14:paraId="51745AA0">
      <w:pPr>
        <w:ind w:firstLine="420"/>
        <w:rPr>
          <w:rFonts w:hint="eastAsia"/>
          <w:color w:val="auto"/>
          <w:highlight w:val="none"/>
          <w:lang w:val="zh-CN"/>
        </w:rPr>
      </w:pPr>
    </w:p>
    <w:p w14:paraId="28597BD3">
      <w:pPr>
        <w:ind w:firstLine="420"/>
        <w:rPr>
          <w:rFonts w:hint="eastAsia"/>
          <w:color w:val="auto"/>
          <w:highlight w:val="none"/>
          <w:lang w:val="zh-CN"/>
        </w:rPr>
      </w:pPr>
    </w:p>
    <w:p w14:paraId="497AA573">
      <w:pPr>
        <w:ind w:firstLine="420"/>
        <w:rPr>
          <w:rFonts w:hint="eastAsia"/>
          <w:color w:val="auto"/>
          <w:highlight w:val="none"/>
          <w:lang w:val="zh-CN"/>
        </w:rPr>
      </w:pPr>
    </w:p>
    <w:p w14:paraId="1B8B856F">
      <w:pPr>
        <w:ind w:firstLine="420"/>
        <w:rPr>
          <w:rFonts w:hint="eastAsia"/>
          <w:color w:val="auto"/>
          <w:highlight w:val="none"/>
          <w:lang w:val="zh-CN"/>
        </w:rPr>
      </w:pPr>
    </w:p>
    <w:p w14:paraId="03D713DE">
      <w:pPr>
        <w:ind w:firstLine="420"/>
        <w:rPr>
          <w:rFonts w:hint="eastAsia"/>
          <w:color w:val="auto"/>
          <w:highlight w:val="none"/>
          <w:lang w:val="zh-CN"/>
        </w:rPr>
      </w:pPr>
    </w:p>
    <w:p w14:paraId="7624DE5F">
      <w:pPr>
        <w:ind w:firstLine="420"/>
        <w:rPr>
          <w:rFonts w:hint="eastAsia"/>
          <w:color w:val="auto"/>
          <w:highlight w:val="none"/>
          <w:lang w:val="zh-CN"/>
        </w:rPr>
      </w:pPr>
    </w:p>
    <w:p w14:paraId="15103F0B">
      <w:pPr>
        <w:autoSpaceDE w:val="0"/>
        <w:autoSpaceDN w:val="0"/>
        <w:ind w:firstLine="3721" w:firstLineChars="1772"/>
        <w:jc w:val="left"/>
        <w:rPr>
          <w:rFonts w:hint="eastAsia" w:hAnsi="宋体" w:cs="宋体"/>
          <w:color w:val="auto"/>
          <w:szCs w:val="21"/>
          <w:highlight w:val="none"/>
          <w:lang w:val="zh-CN"/>
        </w:rPr>
      </w:pPr>
      <w:r>
        <w:rPr>
          <w:rFonts w:hint="eastAsia" w:hAnsi="宋体" w:cs="宋体"/>
          <w:color w:val="auto"/>
          <w:szCs w:val="21"/>
          <w:highlight w:val="none"/>
          <w:lang w:val="en-US" w:eastAsia="zh-CN"/>
        </w:rPr>
        <w:t>投标人</w:t>
      </w:r>
      <w:r>
        <w:rPr>
          <w:rFonts w:hint="eastAsia" w:hAnsi="宋体" w:cs="宋体"/>
          <w:color w:val="auto"/>
          <w:szCs w:val="21"/>
          <w:highlight w:val="none"/>
          <w:lang w:val="zh-CN"/>
        </w:rPr>
        <w:t>：</w:t>
      </w:r>
      <w:r>
        <w:rPr>
          <w:rFonts w:hint="eastAsia" w:hAnsi="宋体" w:cs="宋体"/>
          <w:color w:val="auto"/>
          <w:szCs w:val="21"/>
          <w:highlight w:val="none"/>
          <w:u w:val="single"/>
          <w:lang w:val="zh-CN"/>
        </w:rPr>
        <w:t xml:space="preserve">                    </w:t>
      </w:r>
      <w:r>
        <w:rPr>
          <w:rFonts w:hint="eastAsia" w:hAnsi="宋体" w:cs="宋体"/>
          <w:color w:val="auto"/>
          <w:szCs w:val="21"/>
          <w:highlight w:val="none"/>
          <w:lang w:val="zh-CN"/>
        </w:rPr>
        <w:t>(盖单位章)</w:t>
      </w:r>
    </w:p>
    <w:p w14:paraId="508402FB">
      <w:pPr>
        <w:ind w:firstLine="420"/>
        <w:rPr>
          <w:rFonts w:hint="eastAsia"/>
          <w:color w:val="auto"/>
          <w:highlight w:val="none"/>
          <w:lang w:val="zh-CN"/>
        </w:rPr>
      </w:pPr>
    </w:p>
    <w:p w14:paraId="20DEA24E">
      <w:pPr>
        <w:autoSpaceDE w:val="0"/>
        <w:autoSpaceDN w:val="0"/>
        <w:ind w:firstLine="3721" w:firstLineChars="1772"/>
        <w:jc w:val="left"/>
        <w:rPr>
          <w:rFonts w:hint="eastAsia" w:hAnsi="宋体" w:cs="宋体"/>
          <w:color w:val="auto"/>
          <w:szCs w:val="21"/>
          <w:highlight w:val="none"/>
          <w:lang w:val="zh-CN"/>
        </w:rPr>
      </w:pPr>
      <w:r>
        <w:rPr>
          <w:rFonts w:hint="eastAsia" w:hAnsi="宋体" w:cs="宋体"/>
          <w:color w:val="auto"/>
          <w:szCs w:val="21"/>
          <w:highlight w:val="none"/>
          <w:lang w:val="zh-CN"/>
        </w:rPr>
        <w:t xml:space="preserve">         </w:t>
      </w:r>
      <w:r>
        <w:rPr>
          <w:rFonts w:hint="eastAsia" w:hAnsi="宋体" w:cs="宋体"/>
          <w:color w:val="auto"/>
          <w:szCs w:val="21"/>
          <w:highlight w:val="none"/>
          <w:u w:val="single"/>
          <w:lang w:val="zh-CN"/>
        </w:rPr>
        <w:t xml:space="preserve">       </w:t>
      </w:r>
      <w:r>
        <w:rPr>
          <w:rFonts w:hint="eastAsia" w:hAnsi="宋体" w:cs="宋体"/>
          <w:color w:val="auto"/>
          <w:szCs w:val="21"/>
          <w:highlight w:val="none"/>
          <w:lang w:val="zh-CN"/>
        </w:rPr>
        <w:t>年</w:t>
      </w:r>
      <w:r>
        <w:rPr>
          <w:rFonts w:hint="eastAsia" w:hAnsi="宋体" w:cs="宋体"/>
          <w:color w:val="auto"/>
          <w:szCs w:val="21"/>
          <w:highlight w:val="none"/>
          <w:u w:val="single"/>
          <w:lang w:val="zh-CN"/>
        </w:rPr>
        <w:t xml:space="preserve">    </w:t>
      </w:r>
      <w:r>
        <w:rPr>
          <w:rFonts w:hint="eastAsia" w:hAnsi="宋体" w:cs="宋体"/>
          <w:color w:val="auto"/>
          <w:szCs w:val="21"/>
          <w:highlight w:val="none"/>
          <w:lang w:val="zh-CN"/>
        </w:rPr>
        <w:t>月</w:t>
      </w:r>
      <w:r>
        <w:rPr>
          <w:rFonts w:hint="eastAsia" w:hAnsi="宋体" w:cs="宋体"/>
          <w:color w:val="auto"/>
          <w:szCs w:val="21"/>
          <w:highlight w:val="none"/>
          <w:u w:val="single"/>
          <w:lang w:val="zh-CN"/>
        </w:rPr>
        <w:t xml:space="preserve">    </w:t>
      </w:r>
      <w:r>
        <w:rPr>
          <w:rFonts w:hint="eastAsia" w:hAnsi="宋体" w:cs="宋体"/>
          <w:color w:val="auto"/>
          <w:szCs w:val="21"/>
          <w:highlight w:val="none"/>
          <w:lang w:val="zh-CN"/>
        </w:rPr>
        <w:t>日</w:t>
      </w:r>
    </w:p>
    <w:p w14:paraId="30AB2A2F">
      <w:pPr>
        <w:ind w:firstLine="420"/>
        <w:rPr>
          <w:rFonts w:hint="eastAsia"/>
          <w:color w:val="auto"/>
          <w:highlight w:val="none"/>
          <w:lang w:val="zh-CN"/>
        </w:rPr>
      </w:pPr>
    </w:p>
    <w:p w14:paraId="26E15128">
      <w:pPr>
        <w:ind w:firstLine="420"/>
        <w:rPr>
          <w:rFonts w:hint="eastAsia"/>
          <w:color w:val="auto"/>
          <w:highlight w:val="none"/>
          <w:lang w:val="zh-CN"/>
        </w:rPr>
        <w:sectPr>
          <w:headerReference r:id="rId15" w:type="default"/>
          <w:pgSz w:w="11905" w:h="16838"/>
          <w:pgMar w:top="1440" w:right="1803" w:bottom="1440" w:left="1803" w:header="850" w:footer="850" w:gutter="0"/>
          <w:pgNumType w:fmt="decimal"/>
          <w:cols w:space="0" w:num="1"/>
          <w:rtlGutter w:val="0"/>
          <w:docGrid w:linePitch="490" w:charSpace="0"/>
        </w:sectPr>
      </w:pPr>
    </w:p>
    <w:p w14:paraId="0C188569">
      <w:pPr>
        <w:pStyle w:val="3"/>
        <w:bidi w:val="0"/>
        <w:jc w:val="center"/>
        <w:rPr>
          <w:rFonts w:hint="eastAsia"/>
          <w:color w:val="auto"/>
          <w:highlight w:val="none"/>
        </w:rPr>
      </w:pPr>
      <w:r>
        <w:rPr>
          <w:rFonts w:hint="eastAsia"/>
          <w:color w:val="auto"/>
          <w:highlight w:val="none"/>
        </w:rPr>
        <w:t>三、授权委托书</w:t>
      </w:r>
    </w:p>
    <w:p w14:paraId="70DD8BE8">
      <w:pPr>
        <w:topLinePunct/>
        <w:spacing w:line="4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（姓名）系</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（投标人名称）的法定代表人，现委托</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（姓名）为我方代理人。代理人根据授权，以我方名义签署、澄清、说明、补正、递交、撤回、修改</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（项目名称）投标文件、签订合同和处理有关事宜，其法律后果由我方承担。</w:t>
      </w:r>
    </w:p>
    <w:p w14:paraId="39B62EDE">
      <w:pPr>
        <w:spacing w:line="420" w:lineRule="exact"/>
        <w:ind w:left="0" w:leftChars="0"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委托期限：</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316BBEC9">
      <w:pPr>
        <w:spacing w:line="4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代理人无转委托权。</w:t>
      </w:r>
    </w:p>
    <w:p w14:paraId="2FF80513">
      <w:pPr>
        <w:spacing w:line="42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附：法定代表人和授权委托人身份证复印件</w:t>
      </w:r>
    </w:p>
    <w:p w14:paraId="1CF15315">
      <w:pPr>
        <w:spacing w:line="420" w:lineRule="exact"/>
        <w:ind w:firstLine="480" w:firstLineChars="200"/>
        <w:rPr>
          <w:rFonts w:hint="eastAsia" w:ascii="宋体" w:hAnsi="宋体" w:eastAsia="宋体" w:cs="宋体"/>
          <w:color w:val="auto"/>
          <w:sz w:val="24"/>
          <w:szCs w:val="24"/>
          <w:highlight w:val="none"/>
        </w:rPr>
      </w:pPr>
    </w:p>
    <w:p w14:paraId="4F407AC7">
      <w:pPr>
        <w:spacing w:line="420" w:lineRule="exact"/>
        <w:ind w:firstLine="480" w:firstLineChars="200"/>
        <w:rPr>
          <w:rFonts w:hint="eastAsia" w:ascii="宋体" w:hAnsi="宋体" w:eastAsia="宋体" w:cs="宋体"/>
          <w:color w:val="auto"/>
          <w:sz w:val="24"/>
          <w:szCs w:val="24"/>
          <w:highlight w:val="none"/>
        </w:rPr>
      </w:pPr>
    </w:p>
    <w:p w14:paraId="20D64765">
      <w:pPr>
        <w:spacing w:line="420" w:lineRule="exact"/>
        <w:ind w:firstLine="480" w:firstLineChars="200"/>
        <w:rPr>
          <w:rFonts w:hint="eastAsia" w:ascii="宋体" w:hAnsi="宋体" w:eastAsia="宋体" w:cs="宋体"/>
          <w:color w:val="auto"/>
          <w:sz w:val="24"/>
          <w:szCs w:val="24"/>
          <w:highlight w:val="none"/>
        </w:rPr>
      </w:pPr>
    </w:p>
    <w:p w14:paraId="3C14BC77">
      <w:pPr>
        <w:spacing w:line="420" w:lineRule="exact"/>
        <w:rPr>
          <w:rFonts w:hint="eastAsia" w:ascii="宋体" w:hAnsi="宋体" w:eastAsia="宋体" w:cs="宋体"/>
          <w:color w:val="auto"/>
          <w:sz w:val="24"/>
          <w:szCs w:val="24"/>
          <w:highlight w:val="none"/>
        </w:rPr>
      </w:pPr>
    </w:p>
    <w:p w14:paraId="790A4BA0">
      <w:pPr>
        <w:spacing w:line="420" w:lineRule="exact"/>
        <w:rPr>
          <w:rFonts w:hint="eastAsia" w:ascii="宋体" w:hAnsi="宋体" w:eastAsia="宋体" w:cs="宋体"/>
          <w:color w:val="auto"/>
          <w:sz w:val="24"/>
          <w:szCs w:val="24"/>
          <w:highlight w:val="none"/>
        </w:rPr>
      </w:pPr>
    </w:p>
    <w:p w14:paraId="03CE20A8">
      <w:pPr>
        <w:spacing w:line="420" w:lineRule="exact"/>
        <w:rPr>
          <w:rFonts w:hint="eastAsia" w:ascii="宋体" w:hAnsi="宋体" w:eastAsia="宋体" w:cs="宋体"/>
          <w:color w:val="auto"/>
          <w:sz w:val="24"/>
          <w:szCs w:val="24"/>
          <w:highlight w:val="none"/>
        </w:rPr>
      </w:pPr>
    </w:p>
    <w:p w14:paraId="7B1DE72B">
      <w:pPr>
        <w:spacing w:line="420" w:lineRule="exact"/>
        <w:rPr>
          <w:rFonts w:hint="eastAsia" w:ascii="宋体" w:hAnsi="宋体" w:eastAsia="宋体" w:cs="宋体"/>
          <w:color w:val="auto"/>
          <w:sz w:val="24"/>
          <w:szCs w:val="24"/>
          <w:highlight w:val="none"/>
        </w:rPr>
      </w:pPr>
    </w:p>
    <w:p w14:paraId="7320198E">
      <w:pPr>
        <w:spacing w:line="420" w:lineRule="exact"/>
        <w:rPr>
          <w:rFonts w:hint="eastAsia" w:ascii="宋体" w:hAnsi="宋体" w:eastAsia="宋体" w:cs="宋体"/>
          <w:color w:val="auto"/>
          <w:sz w:val="24"/>
          <w:szCs w:val="24"/>
          <w:highlight w:val="none"/>
        </w:rPr>
      </w:pPr>
    </w:p>
    <w:p w14:paraId="017C521A">
      <w:pPr>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（盖单位章）</w:t>
      </w:r>
    </w:p>
    <w:p w14:paraId="0B1B3703">
      <w:pPr>
        <w:spacing w:line="420" w:lineRule="exact"/>
        <w:ind w:firstLine="3840" w:firstLineChars="1600"/>
        <w:rPr>
          <w:rFonts w:hint="eastAsia" w:ascii="宋体" w:hAnsi="宋体" w:eastAsia="宋体" w:cs="宋体"/>
          <w:color w:val="auto"/>
          <w:sz w:val="24"/>
          <w:szCs w:val="24"/>
          <w:highlight w:val="none"/>
        </w:rPr>
      </w:pPr>
    </w:p>
    <w:p w14:paraId="55221C94">
      <w:pPr>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（签字）</w:t>
      </w:r>
    </w:p>
    <w:p w14:paraId="36B8A677">
      <w:pPr>
        <w:spacing w:line="420" w:lineRule="exact"/>
        <w:ind w:firstLine="3840" w:firstLineChars="1600"/>
        <w:rPr>
          <w:rFonts w:hint="eastAsia" w:ascii="宋体" w:hAnsi="宋体" w:eastAsia="宋体" w:cs="宋体"/>
          <w:color w:val="auto"/>
          <w:sz w:val="24"/>
          <w:szCs w:val="24"/>
          <w:highlight w:val="none"/>
        </w:rPr>
      </w:pPr>
    </w:p>
    <w:p w14:paraId="339CC5D3">
      <w:pPr>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身份证号码：</w:t>
      </w:r>
      <w:r>
        <w:rPr>
          <w:rFonts w:hint="eastAsia" w:ascii="宋体" w:hAnsi="宋体" w:eastAsia="宋体" w:cs="宋体"/>
          <w:color w:val="auto"/>
          <w:sz w:val="24"/>
          <w:szCs w:val="24"/>
          <w:highlight w:val="none"/>
          <w:u w:val="single"/>
        </w:rPr>
        <w:t xml:space="preserve">                                 </w:t>
      </w:r>
    </w:p>
    <w:p w14:paraId="3E32715E">
      <w:pPr>
        <w:spacing w:line="420" w:lineRule="exact"/>
        <w:ind w:firstLine="3840" w:firstLineChars="1600"/>
        <w:rPr>
          <w:rFonts w:hint="eastAsia" w:ascii="宋体" w:hAnsi="宋体" w:eastAsia="宋体" w:cs="宋体"/>
          <w:color w:val="auto"/>
          <w:sz w:val="24"/>
          <w:szCs w:val="24"/>
          <w:highlight w:val="none"/>
        </w:rPr>
      </w:pPr>
    </w:p>
    <w:p w14:paraId="72015891">
      <w:pPr>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（签字） </w:t>
      </w:r>
    </w:p>
    <w:p w14:paraId="2C10C21A">
      <w:pPr>
        <w:spacing w:line="420" w:lineRule="exact"/>
        <w:ind w:firstLine="3840" w:firstLineChars="1600"/>
        <w:rPr>
          <w:rFonts w:hint="eastAsia" w:ascii="宋体" w:hAnsi="宋体" w:eastAsia="宋体" w:cs="宋体"/>
          <w:color w:val="auto"/>
          <w:sz w:val="24"/>
          <w:szCs w:val="24"/>
          <w:highlight w:val="none"/>
        </w:rPr>
      </w:pPr>
    </w:p>
    <w:p w14:paraId="431D31B6">
      <w:pPr>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身份证号码：</w:t>
      </w:r>
      <w:r>
        <w:rPr>
          <w:rFonts w:hint="eastAsia" w:ascii="宋体" w:hAnsi="宋体" w:eastAsia="宋体" w:cs="宋体"/>
          <w:color w:val="auto"/>
          <w:sz w:val="24"/>
          <w:szCs w:val="24"/>
          <w:highlight w:val="none"/>
          <w:u w:val="single"/>
        </w:rPr>
        <w:t xml:space="preserve">                                      </w:t>
      </w:r>
    </w:p>
    <w:p w14:paraId="6375C265">
      <w:pPr>
        <w:spacing w:line="420" w:lineRule="exact"/>
        <w:rPr>
          <w:rFonts w:hint="eastAsia" w:ascii="宋体" w:hAnsi="宋体" w:eastAsia="宋体" w:cs="宋体"/>
          <w:color w:val="auto"/>
          <w:sz w:val="24"/>
          <w:szCs w:val="24"/>
          <w:highlight w:val="none"/>
        </w:rPr>
      </w:pPr>
    </w:p>
    <w:p w14:paraId="371244F2">
      <w:pPr>
        <w:spacing w:line="42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7A8598C2">
      <w:pPr>
        <w:ind w:firstLine="420"/>
        <w:rPr>
          <w:rFonts w:hint="eastAsia"/>
          <w:color w:val="auto"/>
          <w:highlight w:val="none"/>
          <w:lang w:val="zh-CN"/>
        </w:rPr>
      </w:pPr>
    </w:p>
    <w:p w14:paraId="75764435">
      <w:pPr>
        <w:ind w:firstLine="420"/>
        <w:rPr>
          <w:rFonts w:hint="eastAsia"/>
          <w:color w:val="auto"/>
          <w:highlight w:val="none"/>
          <w:lang w:val="zh-CN"/>
        </w:rPr>
      </w:pPr>
    </w:p>
    <w:p w14:paraId="2609A8C1">
      <w:pPr>
        <w:ind w:firstLine="420"/>
        <w:rPr>
          <w:rFonts w:hint="eastAsia"/>
          <w:color w:val="auto"/>
          <w:highlight w:val="none"/>
          <w:lang w:val="zh-CN"/>
        </w:rPr>
      </w:pPr>
    </w:p>
    <w:p w14:paraId="52708A37">
      <w:pPr>
        <w:ind w:firstLine="420"/>
        <w:rPr>
          <w:rFonts w:hint="eastAsia"/>
          <w:color w:val="auto"/>
          <w:highlight w:val="none"/>
          <w:lang w:val="zh-CN"/>
        </w:rPr>
      </w:pPr>
    </w:p>
    <w:p w14:paraId="58D1D9E2">
      <w:pPr>
        <w:pStyle w:val="3"/>
        <w:bidi w:val="0"/>
        <w:jc w:val="center"/>
        <w:rPr>
          <w:rFonts w:hint="eastAsia"/>
          <w:color w:val="auto"/>
          <w:highlight w:val="none"/>
        </w:rPr>
      </w:pPr>
      <w:bookmarkStart w:id="137" w:name="_Toc270184112"/>
      <w:r>
        <w:rPr>
          <w:rFonts w:hint="eastAsia"/>
          <w:color w:val="auto"/>
          <w:highlight w:val="none"/>
        </w:rPr>
        <w:t>四</w:t>
      </w:r>
      <w:r>
        <w:rPr>
          <w:rFonts w:hint="eastAsia"/>
          <w:color w:val="auto"/>
          <w:highlight w:val="none"/>
          <w:lang w:eastAsia="zh-CN"/>
        </w:rPr>
        <w:t>、</w:t>
      </w:r>
      <w:r>
        <w:rPr>
          <w:rFonts w:hint="eastAsia"/>
          <w:color w:val="auto"/>
          <w:highlight w:val="none"/>
        </w:rPr>
        <w:t>开标一览表</w:t>
      </w:r>
      <w:bookmarkEnd w:id="137"/>
    </w:p>
    <w:tbl>
      <w:tblPr>
        <w:tblStyle w:val="16"/>
        <w:tblW w:w="89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2"/>
        <w:gridCol w:w="1815"/>
        <w:gridCol w:w="1880"/>
        <w:gridCol w:w="1880"/>
        <w:gridCol w:w="1762"/>
      </w:tblGrid>
      <w:tr w14:paraId="377AE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jc w:val="center"/>
        </w:trPr>
        <w:tc>
          <w:tcPr>
            <w:tcW w:w="1572" w:type="dxa"/>
            <w:noWrap w:val="0"/>
            <w:vAlign w:val="center"/>
          </w:tcPr>
          <w:p w14:paraId="37C3F201">
            <w:pPr>
              <w:ind w:left="0" w:leftChars="0"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项目名称</w:t>
            </w:r>
          </w:p>
        </w:tc>
        <w:tc>
          <w:tcPr>
            <w:tcW w:w="1815" w:type="dxa"/>
            <w:noWrap w:val="0"/>
            <w:vAlign w:val="center"/>
          </w:tcPr>
          <w:p w14:paraId="1A996DF5">
            <w:pPr>
              <w:ind w:left="0" w:leftChars="0"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投标报价</w:t>
            </w:r>
          </w:p>
          <w:p w14:paraId="1A17D759">
            <w:pPr>
              <w:ind w:left="0" w:leftChars="0" w:firstLine="0" w:firstLineChars="0"/>
              <w:jc w:val="center"/>
              <w:rPr>
                <w:rFonts w:hint="eastAsia" w:ascii="宋体" w:hAnsi="宋体" w:eastAsia="宋体" w:cs="宋体"/>
                <w:color w:val="auto"/>
                <w:sz w:val="24"/>
                <w:szCs w:val="24"/>
                <w:highlight w:val="none"/>
              </w:rPr>
            </w:pPr>
            <w:r>
              <w:rPr>
                <w:rFonts w:hint="eastAsia" w:hAnsi="宋体" w:cs="宋体"/>
                <w:color w:val="auto"/>
                <w:sz w:val="24"/>
                <w:szCs w:val="24"/>
                <w:highlight w:val="none"/>
                <w:lang w:val="en-US" w:eastAsia="zh-CN"/>
              </w:rPr>
              <w:t>单价</w:t>
            </w:r>
            <w:r>
              <w:rPr>
                <w:rFonts w:hint="eastAsia" w:ascii="宋体" w:hAnsi="宋体" w:eastAsia="宋体" w:cs="宋体"/>
                <w:color w:val="auto"/>
                <w:sz w:val="24"/>
                <w:szCs w:val="24"/>
                <w:highlight w:val="none"/>
              </w:rPr>
              <w:t>（元）</w:t>
            </w:r>
          </w:p>
        </w:tc>
        <w:tc>
          <w:tcPr>
            <w:tcW w:w="1880" w:type="dxa"/>
            <w:noWrap w:val="0"/>
            <w:vAlign w:val="center"/>
          </w:tcPr>
          <w:p w14:paraId="3E2B8D19">
            <w:pPr>
              <w:ind w:left="0" w:leftChars="0" w:firstLine="0" w:firstLineChars="0"/>
              <w:jc w:val="center"/>
              <w:rPr>
                <w:rFonts w:hint="default" w:ascii="宋体" w:hAnsi="宋体" w:eastAsia="宋体" w:cs="宋体"/>
                <w:color w:val="auto"/>
                <w:sz w:val="24"/>
                <w:szCs w:val="24"/>
                <w:highlight w:val="none"/>
                <w:lang w:val="en-US" w:eastAsia="zh-CN"/>
              </w:rPr>
            </w:pPr>
            <w:r>
              <w:rPr>
                <w:rFonts w:hint="eastAsia" w:hAnsi="宋体" w:cs="宋体"/>
                <w:color w:val="auto"/>
                <w:sz w:val="24"/>
                <w:szCs w:val="24"/>
                <w:highlight w:val="none"/>
                <w:lang w:val="en-US" w:eastAsia="zh-CN"/>
              </w:rPr>
              <w:t>预计数量（吨）</w:t>
            </w:r>
          </w:p>
        </w:tc>
        <w:tc>
          <w:tcPr>
            <w:tcW w:w="1880" w:type="dxa"/>
            <w:noWrap w:val="0"/>
            <w:vAlign w:val="center"/>
          </w:tcPr>
          <w:p w14:paraId="10DA0B78">
            <w:pPr>
              <w:ind w:left="0" w:leftChars="0" w:firstLine="0" w:firstLineChars="0"/>
              <w:jc w:val="center"/>
              <w:rPr>
                <w:rFonts w:hint="eastAsia" w:hAnsi="宋体" w:cs="宋体"/>
                <w:color w:val="auto"/>
                <w:sz w:val="24"/>
                <w:szCs w:val="24"/>
                <w:highlight w:val="none"/>
                <w:lang w:val="en-US" w:eastAsia="zh-CN"/>
              </w:rPr>
            </w:pPr>
            <w:r>
              <w:rPr>
                <w:rFonts w:hint="eastAsia" w:hAnsi="宋体" w:cs="宋体"/>
                <w:color w:val="auto"/>
                <w:sz w:val="24"/>
                <w:szCs w:val="24"/>
                <w:highlight w:val="none"/>
                <w:lang w:val="en-US" w:eastAsia="zh-CN"/>
              </w:rPr>
              <w:t>合同履行期限</w:t>
            </w:r>
          </w:p>
        </w:tc>
        <w:tc>
          <w:tcPr>
            <w:tcW w:w="1762" w:type="dxa"/>
            <w:noWrap w:val="0"/>
            <w:vAlign w:val="center"/>
          </w:tcPr>
          <w:p w14:paraId="5722E0EA">
            <w:pPr>
              <w:ind w:left="0" w:leftChars="0" w:firstLine="0" w:firstLineChars="0"/>
              <w:jc w:val="center"/>
              <w:rPr>
                <w:rFonts w:hint="eastAsia" w:hAnsi="宋体" w:cs="宋体"/>
                <w:color w:val="auto"/>
                <w:sz w:val="24"/>
                <w:szCs w:val="24"/>
                <w:highlight w:val="none"/>
                <w:lang w:val="en-US" w:eastAsia="zh-CN"/>
              </w:rPr>
            </w:pPr>
            <w:r>
              <w:rPr>
                <w:rFonts w:hint="eastAsia" w:hAnsi="宋体" w:cs="宋体"/>
                <w:color w:val="auto"/>
                <w:sz w:val="24"/>
                <w:szCs w:val="24"/>
                <w:highlight w:val="none"/>
                <w:lang w:val="en-US" w:eastAsia="zh-CN"/>
              </w:rPr>
              <w:t>质量标准</w:t>
            </w:r>
          </w:p>
        </w:tc>
      </w:tr>
      <w:tr w14:paraId="7EFD9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9" w:hRule="atLeast"/>
          <w:jc w:val="center"/>
        </w:trPr>
        <w:tc>
          <w:tcPr>
            <w:tcW w:w="1572" w:type="dxa"/>
            <w:noWrap w:val="0"/>
            <w:vAlign w:val="top"/>
          </w:tcPr>
          <w:p w14:paraId="1A8FEA71">
            <w:pPr>
              <w:spacing w:line="480" w:lineRule="exact"/>
              <w:jc w:val="center"/>
              <w:rPr>
                <w:rFonts w:hint="eastAsia" w:ascii="宋体" w:hAnsi="宋体" w:eastAsia="宋体" w:cs="宋体"/>
                <w:color w:val="auto"/>
                <w:sz w:val="24"/>
                <w:szCs w:val="24"/>
                <w:highlight w:val="none"/>
              </w:rPr>
            </w:pPr>
          </w:p>
        </w:tc>
        <w:tc>
          <w:tcPr>
            <w:tcW w:w="1815" w:type="dxa"/>
            <w:noWrap w:val="0"/>
            <w:vAlign w:val="top"/>
          </w:tcPr>
          <w:p w14:paraId="4C7E37DA">
            <w:pPr>
              <w:spacing w:line="480" w:lineRule="exact"/>
              <w:jc w:val="center"/>
              <w:rPr>
                <w:rFonts w:hint="eastAsia" w:ascii="宋体" w:hAnsi="宋体" w:eastAsia="宋体" w:cs="宋体"/>
                <w:color w:val="auto"/>
                <w:sz w:val="24"/>
                <w:szCs w:val="24"/>
                <w:highlight w:val="none"/>
              </w:rPr>
            </w:pPr>
          </w:p>
        </w:tc>
        <w:tc>
          <w:tcPr>
            <w:tcW w:w="1880" w:type="dxa"/>
            <w:noWrap w:val="0"/>
            <w:vAlign w:val="top"/>
          </w:tcPr>
          <w:p w14:paraId="5F774A57">
            <w:pPr>
              <w:spacing w:line="480" w:lineRule="exact"/>
              <w:jc w:val="center"/>
              <w:rPr>
                <w:rFonts w:hint="eastAsia" w:ascii="宋体" w:hAnsi="宋体" w:eastAsia="宋体" w:cs="宋体"/>
                <w:color w:val="auto"/>
                <w:sz w:val="24"/>
                <w:szCs w:val="24"/>
                <w:highlight w:val="none"/>
              </w:rPr>
            </w:pPr>
          </w:p>
        </w:tc>
        <w:tc>
          <w:tcPr>
            <w:tcW w:w="1880" w:type="dxa"/>
            <w:noWrap w:val="0"/>
            <w:vAlign w:val="top"/>
          </w:tcPr>
          <w:p w14:paraId="7EC165AD">
            <w:pPr>
              <w:spacing w:line="480" w:lineRule="exact"/>
              <w:jc w:val="center"/>
              <w:rPr>
                <w:rFonts w:hint="eastAsia" w:ascii="宋体" w:hAnsi="宋体" w:eastAsia="宋体" w:cs="宋体"/>
                <w:color w:val="auto"/>
                <w:sz w:val="24"/>
                <w:szCs w:val="24"/>
                <w:highlight w:val="none"/>
              </w:rPr>
            </w:pPr>
          </w:p>
        </w:tc>
        <w:tc>
          <w:tcPr>
            <w:tcW w:w="1762" w:type="dxa"/>
            <w:noWrap w:val="0"/>
            <w:vAlign w:val="top"/>
          </w:tcPr>
          <w:p w14:paraId="4481889C">
            <w:pPr>
              <w:spacing w:line="480" w:lineRule="exact"/>
              <w:jc w:val="center"/>
              <w:rPr>
                <w:rFonts w:hint="eastAsia" w:ascii="宋体" w:hAnsi="宋体" w:eastAsia="宋体" w:cs="宋体"/>
                <w:color w:val="auto"/>
                <w:sz w:val="24"/>
                <w:szCs w:val="24"/>
                <w:highlight w:val="none"/>
              </w:rPr>
            </w:pPr>
          </w:p>
        </w:tc>
      </w:tr>
    </w:tbl>
    <w:p w14:paraId="3861080C">
      <w:pPr>
        <w:spacing w:line="480" w:lineRule="exact"/>
        <w:rPr>
          <w:rFonts w:hint="eastAsia" w:ascii="宋体" w:hAnsi="宋体" w:eastAsia="宋体" w:cs="宋体"/>
          <w:color w:val="auto"/>
          <w:sz w:val="24"/>
          <w:szCs w:val="24"/>
          <w:highlight w:val="none"/>
        </w:rPr>
      </w:pPr>
    </w:p>
    <w:p w14:paraId="7E3BAEEF">
      <w:pPr>
        <w:spacing w:line="48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投标单位（盖公章）：</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2AAE78F5">
      <w:pPr>
        <w:spacing w:line="480" w:lineRule="exact"/>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法人代表人或其授权代理人（签字）：</w:t>
      </w:r>
      <w:r>
        <w:rPr>
          <w:rFonts w:hint="eastAsia" w:ascii="宋体" w:hAnsi="宋体" w:eastAsia="宋体" w:cs="宋体"/>
          <w:color w:val="auto"/>
          <w:sz w:val="24"/>
          <w:szCs w:val="24"/>
          <w:highlight w:val="none"/>
          <w:u w:val="single"/>
        </w:rPr>
        <w:t xml:space="preserve">                 </w:t>
      </w:r>
    </w:p>
    <w:p w14:paraId="5BFCAB75">
      <w:pPr>
        <w:spacing w:line="48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日期：   年   月   日</w:t>
      </w:r>
    </w:p>
    <w:p w14:paraId="36EBF496">
      <w:pPr>
        <w:spacing w:line="480" w:lineRule="exact"/>
        <w:rPr>
          <w:rFonts w:hint="eastAsia" w:ascii="宋体" w:hAnsi="宋体" w:eastAsia="宋体" w:cs="宋体"/>
          <w:color w:val="auto"/>
          <w:sz w:val="24"/>
          <w:szCs w:val="24"/>
          <w:highlight w:val="none"/>
        </w:rPr>
      </w:pPr>
    </w:p>
    <w:p w14:paraId="4770C86E">
      <w:pPr>
        <w:spacing w:line="480" w:lineRule="exac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投标要求：</w:t>
      </w:r>
    </w:p>
    <w:p w14:paraId="4E130EB8">
      <w:pPr>
        <w:spacing w:line="480" w:lineRule="exact"/>
        <w:rPr>
          <w:rFonts w:hint="eastAsia" w:ascii="宋体" w:hAnsi="宋体" w:eastAsia="宋体" w:cs="宋体"/>
          <w:b w:val="0"/>
          <w:bCs w:val="0"/>
          <w:color w:val="auto"/>
          <w:sz w:val="24"/>
          <w:szCs w:val="24"/>
          <w:highlight w:val="none"/>
        </w:rPr>
      </w:pPr>
      <w:r>
        <w:rPr>
          <w:rFonts w:hint="eastAsia" w:ascii="宋体" w:hAnsi="宋体" w:eastAsia="宋体" w:cs="宋体"/>
          <w:color w:val="auto"/>
          <w:sz w:val="24"/>
          <w:szCs w:val="24"/>
          <w:highlight w:val="none"/>
        </w:rPr>
        <w:t>1.“开标一览表”用于开标时唱标使用。</w:t>
      </w:r>
    </w:p>
    <w:p w14:paraId="226731B9">
      <w:pPr>
        <w:spacing w:line="480" w:lineRule="exact"/>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2.“开标一览表”的内容应与投标文件中内容一致。如果“开标一览表”的内容与投标文件的其他相关内容不一致，则以“开标一览表”的内容为准。</w:t>
      </w:r>
    </w:p>
    <w:p w14:paraId="296DE7C4">
      <w:pPr>
        <w:spacing w:line="480" w:lineRule="exact"/>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3、“开标一览表”中各个栏目都必须完整、准确填写。</w:t>
      </w:r>
    </w:p>
    <w:p w14:paraId="68A885EF">
      <w:pPr>
        <w:spacing w:line="480" w:lineRule="exact"/>
        <w:rPr>
          <w:rFonts w:hint="eastAsia" w:ascii="宋体" w:hAnsi="宋体" w:eastAsia="宋体" w:cs="宋体"/>
          <w:color w:val="auto"/>
          <w:sz w:val="32"/>
          <w:szCs w:val="32"/>
          <w:highlight w:val="none"/>
        </w:rPr>
        <w:sectPr>
          <w:footerReference r:id="rId17" w:type="first"/>
          <w:footerReference r:id="rId16" w:type="default"/>
          <w:pgSz w:w="11905" w:h="16838"/>
          <w:pgMar w:top="1440" w:right="1803" w:bottom="1440" w:left="1803" w:header="850" w:footer="850" w:gutter="0"/>
          <w:pgNumType w:fmt="decimal"/>
          <w:cols w:space="0" w:num="1"/>
          <w:rtlGutter w:val="0"/>
          <w:docGrid w:linePitch="312" w:charSpace="0"/>
        </w:sectPr>
      </w:pPr>
    </w:p>
    <w:p w14:paraId="0686B44C">
      <w:pPr>
        <w:shd w:val="clear" w:color="auto" w:fill="auto"/>
        <w:spacing w:line="480" w:lineRule="auto"/>
        <w:ind w:firstLine="643" w:firstLineChars="200"/>
        <w:jc w:val="center"/>
        <w:outlineLvl w:val="1"/>
        <w:rPr>
          <w:rFonts w:hint="eastAsia" w:ascii="宋体" w:hAnsi="宋体" w:eastAsia="宋体" w:cs="宋体"/>
          <w:b/>
          <w:color w:val="auto"/>
          <w:sz w:val="32"/>
          <w:szCs w:val="32"/>
          <w:highlight w:val="none"/>
          <w:lang w:eastAsia="zh-CN"/>
        </w:rPr>
      </w:pPr>
      <w:bookmarkStart w:id="138" w:name="_Toc11670"/>
      <w:bookmarkStart w:id="139" w:name="_Toc27120"/>
      <w:bookmarkStart w:id="140" w:name="_Toc29787"/>
      <w:r>
        <w:rPr>
          <w:rFonts w:hint="eastAsia" w:ascii="宋体" w:hAnsi="宋体" w:eastAsia="宋体" w:cs="宋体"/>
          <w:b/>
          <w:color w:val="auto"/>
          <w:sz w:val="32"/>
          <w:szCs w:val="32"/>
          <w:highlight w:val="none"/>
          <w:lang w:val="en-US" w:eastAsia="zh-CN"/>
        </w:rPr>
        <w:t>五</w:t>
      </w:r>
      <w:r>
        <w:rPr>
          <w:rFonts w:hint="eastAsia" w:ascii="宋体" w:hAnsi="宋体" w:eastAsia="宋体" w:cs="宋体"/>
          <w:b/>
          <w:color w:val="auto"/>
          <w:sz w:val="32"/>
          <w:szCs w:val="32"/>
          <w:highlight w:val="none"/>
        </w:rPr>
        <w:t>、</w:t>
      </w:r>
      <w:bookmarkEnd w:id="138"/>
      <w:bookmarkEnd w:id="139"/>
      <w:bookmarkEnd w:id="140"/>
      <w:r>
        <w:rPr>
          <w:rFonts w:hint="eastAsia" w:hAnsi="宋体" w:cs="宋体"/>
          <w:b/>
          <w:bCs/>
          <w:color w:val="auto"/>
          <w:kern w:val="0"/>
          <w:sz w:val="36"/>
          <w:szCs w:val="36"/>
          <w:highlight w:val="none"/>
          <w:lang w:val="en-US" w:eastAsia="zh-CN"/>
        </w:rPr>
        <w:t>供货方案</w:t>
      </w:r>
    </w:p>
    <w:p w14:paraId="7623B385">
      <w:pPr>
        <w:keepNext w:val="0"/>
        <w:keepLines w:val="0"/>
        <w:pageBreakBefore w:val="0"/>
        <w:widowControl w:val="0"/>
        <w:shd w:val="clear" w:color="auto" w:fill="auto"/>
        <w:kinsoku/>
        <w:wordWrap/>
        <w:overflowPunct/>
        <w:topLinePunct w:val="0"/>
        <w:autoSpaceDE/>
        <w:autoSpaceDN/>
        <w:bidi w:val="0"/>
        <w:adjustRightInd/>
        <w:snapToGrid/>
        <w:spacing w:after="0" w:line="360" w:lineRule="auto"/>
        <w:jc w:val="left"/>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暗标格式要求：</w:t>
      </w:r>
    </w:p>
    <w:p w14:paraId="45191A33">
      <w:pPr>
        <w:pStyle w:val="15"/>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ascii="宋体" w:hAnsi="宋体" w:eastAsia="宋体" w:cs="宋体"/>
          <w:color w:val="auto"/>
          <w:sz w:val="24"/>
          <w:szCs w:val="24"/>
          <w:highlight w:val="none"/>
          <w:lang w:val="en-US" w:eastAsia="zh-CN"/>
        </w:rPr>
      </w:pPr>
      <w:r>
        <w:rPr>
          <w:rFonts w:hint="default"/>
          <w:color w:val="auto"/>
          <w:sz w:val="24"/>
          <w:szCs w:val="24"/>
          <w:highlight w:val="none"/>
          <w:lang w:val="en-US" w:eastAsia="zh-CN"/>
        </w:rPr>
        <w:t>投标文件技术标必须遵守的统一格式和规范。 技术标文件（暗标）未按以下“盲</w:t>
      </w:r>
      <w:r>
        <w:rPr>
          <w:rFonts w:hint="eastAsia" w:ascii="宋体" w:hAnsi="宋体" w:eastAsia="宋体" w:cs="宋体"/>
          <w:color w:val="auto"/>
          <w:sz w:val="24"/>
          <w:szCs w:val="24"/>
          <w:highlight w:val="none"/>
          <w:lang w:val="en-US" w:eastAsia="zh-CN"/>
        </w:rPr>
        <w:t xml:space="preserve">评”要求制作的，为无效投标，除下述要求外，不得因暗标格式问题认定为无效投标： </w:t>
      </w:r>
    </w:p>
    <w:p w14:paraId="2C4B9881">
      <w:pPr>
        <w:pStyle w:val="15"/>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1.版面要求：A4纸张大小； </w:t>
      </w:r>
    </w:p>
    <w:p w14:paraId="0514C8F0">
      <w:pPr>
        <w:pStyle w:val="15"/>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2.颜色要求：所有文字、图表均为黑色； </w:t>
      </w:r>
    </w:p>
    <w:p w14:paraId="4093668C">
      <w:pPr>
        <w:pStyle w:val="15"/>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3.字体要求：标题及正文部分所用文字均采用“宋体”四号“常规”字；图、表内的字体及字号不作要求；全部使用中文标点符号；所有字体均不得出现加粗、加色、倾斜、下划线等标记； </w:t>
      </w:r>
    </w:p>
    <w:p w14:paraId="4F6912AE">
      <w:pPr>
        <w:pStyle w:val="15"/>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4.排版要求：页边距要求上边距2.5厘米，其余均为2厘米；不得设置目录；正文行间距为固定值30磅；文字内容（含正文标题、正文及表格标题）统一设为左对齐；首行缩进2字符，不得有空格；段落前后不设置空行；不得设置页眉、页脚和页码；图、表部分对齐形式统一设为居中对齐； </w:t>
      </w:r>
    </w:p>
    <w:p w14:paraId="3B5951B1">
      <w:pPr>
        <w:keepNext w:val="0"/>
        <w:keepLines w:val="0"/>
        <w:pageBreakBefore w:val="0"/>
        <w:widowControl w:val="0"/>
        <w:shd w:val="clear" w:color="auto" w:fill="auto"/>
        <w:kinsoku/>
        <w:wordWrap/>
        <w:overflowPunct/>
        <w:topLinePunct w:val="0"/>
        <w:autoSpaceDE/>
        <w:autoSpaceDN/>
        <w:bidi w:val="0"/>
        <w:adjustRightInd/>
        <w:snapToGrid/>
        <w:spacing w:line="360" w:lineRule="auto"/>
        <w:jc w:val="left"/>
        <w:textAlignment w:val="auto"/>
        <w:rPr>
          <w:rFonts w:hint="eastAsia" w:ascii="宋体" w:hAnsi="宋体" w:eastAsia="宋体" w:cs="宋体"/>
          <w:b/>
          <w:color w:val="auto"/>
          <w:sz w:val="32"/>
          <w:szCs w:val="32"/>
          <w:highlight w:val="none"/>
          <w:lang w:eastAsia="zh-CN"/>
        </w:rPr>
      </w:pPr>
      <w:r>
        <w:rPr>
          <w:rFonts w:hint="eastAsia" w:ascii="宋体" w:hAnsi="宋体" w:eastAsia="宋体" w:cs="宋体"/>
          <w:color w:val="auto"/>
          <w:sz w:val="24"/>
          <w:szCs w:val="24"/>
          <w:highlight w:val="none"/>
          <w:lang w:val="en-US" w:eastAsia="zh-CN"/>
        </w:rPr>
        <w:t>5.其它：除满足上述各项要求外，构成投标文件的“技术暗标”的正文中均不得出现</w:t>
      </w:r>
      <w:r>
        <w:rPr>
          <w:rFonts w:hint="eastAsia" w:hAnsi="宋体" w:cs="宋体"/>
          <w:color w:val="auto"/>
          <w:sz w:val="24"/>
          <w:szCs w:val="24"/>
          <w:highlight w:val="none"/>
          <w:lang w:val="en-US" w:eastAsia="zh-CN"/>
        </w:rPr>
        <w:t>投标人</w:t>
      </w:r>
      <w:r>
        <w:rPr>
          <w:rFonts w:hint="eastAsia" w:ascii="宋体" w:hAnsi="宋体" w:eastAsia="宋体" w:cs="宋体"/>
          <w:color w:val="auto"/>
          <w:sz w:val="24"/>
          <w:szCs w:val="24"/>
          <w:highlight w:val="none"/>
          <w:lang w:val="en-US" w:eastAsia="zh-CN"/>
        </w:rPr>
        <w:t>的名称和其它可识别</w:t>
      </w:r>
      <w:r>
        <w:rPr>
          <w:rFonts w:hint="eastAsia" w:hAnsi="宋体" w:cs="宋体"/>
          <w:color w:val="auto"/>
          <w:sz w:val="24"/>
          <w:szCs w:val="24"/>
          <w:highlight w:val="none"/>
          <w:lang w:val="en-US" w:eastAsia="zh-CN"/>
        </w:rPr>
        <w:t>投标人</w:t>
      </w:r>
      <w:r>
        <w:rPr>
          <w:rFonts w:hint="eastAsia" w:ascii="宋体" w:hAnsi="宋体" w:eastAsia="宋体" w:cs="宋体"/>
          <w:color w:val="auto"/>
          <w:sz w:val="24"/>
          <w:szCs w:val="24"/>
          <w:highlight w:val="none"/>
          <w:lang w:val="en-US" w:eastAsia="zh-CN"/>
        </w:rPr>
        <w:t>身份的字符、徽标、人员名称以及其他可能被辨别出</w:t>
      </w:r>
      <w:r>
        <w:rPr>
          <w:rFonts w:hint="eastAsia" w:hAnsi="宋体" w:cs="宋体"/>
          <w:color w:val="auto"/>
          <w:sz w:val="24"/>
          <w:szCs w:val="24"/>
          <w:highlight w:val="none"/>
          <w:lang w:val="en-US" w:eastAsia="zh-CN"/>
        </w:rPr>
        <w:t>投标人</w:t>
      </w:r>
      <w:r>
        <w:rPr>
          <w:rFonts w:hint="eastAsia" w:ascii="宋体" w:hAnsi="宋体" w:eastAsia="宋体" w:cs="宋体"/>
          <w:color w:val="auto"/>
          <w:sz w:val="24"/>
          <w:szCs w:val="24"/>
          <w:highlight w:val="none"/>
          <w:lang w:val="en-US" w:eastAsia="zh-CN"/>
        </w:rPr>
        <w:t>身份的任何标记。</w:t>
      </w:r>
    </w:p>
    <w:p w14:paraId="753BCAD4">
      <w:pPr>
        <w:pStyle w:val="5"/>
        <w:ind w:left="0" w:leftChars="0" w:firstLine="0" w:firstLineChars="0"/>
        <w:jc w:val="both"/>
        <w:rPr>
          <w:color w:val="auto"/>
          <w:highlight w:val="none"/>
        </w:rPr>
      </w:pPr>
    </w:p>
    <w:p w14:paraId="1E7B30DF">
      <w:pPr>
        <w:ind w:firstLine="420"/>
        <w:rPr>
          <w:rFonts w:hint="default" w:eastAsia="宋体"/>
          <w:color w:val="auto"/>
          <w:highlight w:val="none"/>
          <w:lang w:val="en-US" w:eastAsia="zh-CN"/>
        </w:rPr>
      </w:pPr>
      <w:r>
        <w:rPr>
          <w:rFonts w:hint="eastAsia"/>
          <w:color w:val="auto"/>
          <w:highlight w:val="none"/>
          <w:lang w:eastAsia="zh-CN"/>
        </w:rPr>
        <w:tab/>
      </w:r>
      <w:r>
        <w:rPr>
          <w:rFonts w:hint="eastAsia"/>
          <w:color w:val="auto"/>
          <w:highlight w:val="none"/>
          <w:lang w:val="en-US" w:eastAsia="zh-CN"/>
        </w:rPr>
        <w:t>技术部分不得超过300页。</w:t>
      </w:r>
    </w:p>
    <w:p w14:paraId="48F26AFE">
      <w:pPr>
        <w:tabs>
          <w:tab w:val="left" w:pos="529"/>
        </w:tabs>
        <w:bidi w:val="0"/>
        <w:jc w:val="left"/>
        <w:rPr>
          <w:rFonts w:hint="eastAsia" w:eastAsia="宋体"/>
          <w:color w:val="auto"/>
          <w:highlight w:val="none"/>
          <w:lang w:eastAsia="zh-CN"/>
        </w:rPr>
        <w:sectPr>
          <w:pgSz w:w="11905" w:h="16838"/>
          <w:pgMar w:top="1440" w:right="1803" w:bottom="1440" w:left="1803" w:header="850" w:footer="850" w:gutter="0"/>
          <w:pgNumType w:fmt="decimal"/>
          <w:cols w:space="0" w:num="1"/>
          <w:rtlGutter w:val="0"/>
          <w:docGrid w:linePitch="490" w:charSpace="0"/>
        </w:sectPr>
      </w:pPr>
    </w:p>
    <w:p w14:paraId="0AF0D2FA">
      <w:pPr>
        <w:keepNext w:val="0"/>
        <w:keepLines w:val="0"/>
        <w:pageBreakBefore w:val="0"/>
        <w:widowControl w:val="0"/>
        <w:shd w:val="clear" w:color="auto" w:fill="auto"/>
        <w:kinsoku/>
        <w:wordWrap/>
        <w:overflowPunct/>
        <w:topLinePunct w:val="0"/>
        <w:autoSpaceDE/>
        <w:autoSpaceDN/>
        <w:bidi w:val="0"/>
        <w:adjustRightInd/>
        <w:snapToGrid/>
        <w:spacing w:line="360" w:lineRule="auto"/>
        <w:jc w:val="center"/>
        <w:textAlignment w:val="auto"/>
        <w:outlineLvl w:val="1"/>
        <w:rPr>
          <w:rFonts w:hint="eastAsia" w:ascii="宋体" w:hAnsi="宋体" w:eastAsia="宋体" w:cs="宋体"/>
          <w:b/>
          <w:color w:val="auto"/>
          <w:sz w:val="36"/>
          <w:szCs w:val="36"/>
          <w:highlight w:val="none"/>
        </w:rPr>
      </w:pPr>
      <w:bookmarkStart w:id="141" w:name="_Toc2126"/>
      <w:bookmarkStart w:id="142" w:name="_Toc7999"/>
      <w:r>
        <w:rPr>
          <w:rFonts w:hint="eastAsia" w:ascii="宋体" w:hAnsi="宋体" w:eastAsia="宋体" w:cs="宋体"/>
          <w:b/>
          <w:color w:val="auto"/>
          <w:sz w:val="32"/>
          <w:szCs w:val="32"/>
          <w:highlight w:val="none"/>
          <w:lang w:val="en-US" w:eastAsia="zh-CN"/>
        </w:rPr>
        <w:t>六</w:t>
      </w:r>
      <w:r>
        <w:rPr>
          <w:rFonts w:hint="eastAsia" w:ascii="宋体" w:hAnsi="宋体" w:eastAsia="宋体" w:cs="宋体"/>
          <w:b/>
          <w:color w:val="auto"/>
          <w:sz w:val="32"/>
          <w:szCs w:val="32"/>
          <w:highlight w:val="none"/>
        </w:rPr>
        <w:t>、</w:t>
      </w:r>
      <w:r>
        <w:rPr>
          <w:rFonts w:hint="eastAsia" w:ascii="宋体" w:hAnsi="宋体" w:eastAsia="宋体" w:cs="宋体"/>
          <w:b/>
          <w:color w:val="auto"/>
          <w:sz w:val="36"/>
          <w:szCs w:val="36"/>
          <w:highlight w:val="none"/>
        </w:rPr>
        <w:t>项目管理机构</w:t>
      </w:r>
      <w:bookmarkEnd w:id="141"/>
      <w:bookmarkEnd w:id="142"/>
    </w:p>
    <w:tbl>
      <w:tblPr>
        <w:tblStyle w:val="16"/>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16"/>
        <w:gridCol w:w="1112"/>
        <w:gridCol w:w="708"/>
        <w:gridCol w:w="905"/>
        <w:gridCol w:w="746"/>
        <w:gridCol w:w="1270"/>
        <w:gridCol w:w="829"/>
        <w:gridCol w:w="920"/>
        <w:gridCol w:w="1470"/>
      </w:tblGrid>
      <w:tr w14:paraId="2D9253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tcBorders>
              <w:top w:val="single" w:color="auto" w:sz="8" w:space="0"/>
              <w:left w:val="single" w:color="auto" w:sz="8" w:space="0"/>
              <w:bottom w:val="single" w:color="auto" w:sz="4" w:space="0"/>
              <w:right w:val="single" w:color="auto" w:sz="4" w:space="0"/>
            </w:tcBorders>
            <w:noWrap w:val="0"/>
            <w:vAlign w:val="center"/>
          </w:tcPr>
          <w:p w14:paraId="2CB5B33D">
            <w:pPr>
              <w:spacing w:line="240" w:lineRule="auto"/>
              <w:ind w:firstLine="0" w:firstLineChars="0"/>
              <w:jc w:val="center"/>
              <w:rPr>
                <w:color w:val="auto"/>
                <w:highlight w:val="none"/>
              </w:rPr>
            </w:pPr>
            <w:r>
              <w:rPr>
                <w:rFonts w:hint="eastAsia"/>
                <w:color w:val="auto"/>
                <w:highlight w:val="none"/>
              </w:rPr>
              <w:t>序号</w:t>
            </w:r>
          </w:p>
        </w:tc>
        <w:tc>
          <w:tcPr>
            <w:tcW w:w="1112" w:type="dxa"/>
            <w:tcBorders>
              <w:top w:val="single" w:color="auto" w:sz="8" w:space="0"/>
              <w:left w:val="single" w:color="auto" w:sz="4" w:space="0"/>
              <w:bottom w:val="single" w:color="auto" w:sz="4" w:space="0"/>
              <w:right w:val="single" w:color="auto" w:sz="4" w:space="0"/>
            </w:tcBorders>
            <w:noWrap w:val="0"/>
            <w:vAlign w:val="center"/>
          </w:tcPr>
          <w:p w14:paraId="00F3C764">
            <w:pPr>
              <w:spacing w:line="240" w:lineRule="auto"/>
              <w:ind w:firstLine="0" w:firstLineChars="0"/>
              <w:jc w:val="center"/>
              <w:rPr>
                <w:color w:val="auto"/>
                <w:highlight w:val="none"/>
              </w:rPr>
            </w:pPr>
            <w:r>
              <w:rPr>
                <w:rFonts w:hint="eastAsia"/>
                <w:color w:val="auto"/>
                <w:highlight w:val="none"/>
              </w:rPr>
              <w:t>姓名</w:t>
            </w:r>
          </w:p>
        </w:tc>
        <w:tc>
          <w:tcPr>
            <w:tcW w:w="708" w:type="dxa"/>
            <w:tcBorders>
              <w:top w:val="single" w:color="auto" w:sz="8" w:space="0"/>
              <w:left w:val="single" w:color="auto" w:sz="4" w:space="0"/>
              <w:bottom w:val="single" w:color="auto" w:sz="4" w:space="0"/>
              <w:right w:val="single" w:color="auto" w:sz="4" w:space="0"/>
            </w:tcBorders>
            <w:noWrap w:val="0"/>
            <w:vAlign w:val="center"/>
          </w:tcPr>
          <w:p w14:paraId="5790E4B7">
            <w:pPr>
              <w:spacing w:line="240" w:lineRule="auto"/>
              <w:ind w:firstLine="0" w:firstLineChars="0"/>
              <w:jc w:val="center"/>
              <w:rPr>
                <w:color w:val="auto"/>
                <w:highlight w:val="none"/>
              </w:rPr>
            </w:pPr>
            <w:r>
              <w:rPr>
                <w:rFonts w:hint="eastAsia"/>
                <w:color w:val="auto"/>
                <w:highlight w:val="none"/>
              </w:rPr>
              <w:t>性别</w:t>
            </w:r>
          </w:p>
        </w:tc>
        <w:tc>
          <w:tcPr>
            <w:tcW w:w="905" w:type="dxa"/>
            <w:tcBorders>
              <w:top w:val="single" w:color="auto" w:sz="8" w:space="0"/>
              <w:left w:val="single" w:color="auto" w:sz="4" w:space="0"/>
              <w:bottom w:val="single" w:color="auto" w:sz="4" w:space="0"/>
              <w:right w:val="single" w:color="auto" w:sz="4" w:space="0"/>
            </w:tcBorders>
            <w:noWrap w:val="0"/>
            <w:vAlign w:val="center"/>
          </w:tcPr>
          <w:p w14:paraId="687B2B1E">
            <w:pPr>
              <w:spacing w:line="240" w:lineRule="auto"/>
              <w:ind w:firstLine="0" w:firstLineChars="0"/>
              <w:jc w:val="center"/>
              <w:rPr>
                <w:color w:val="auto"/>
                <w:highlight w:val="none"/>
              </w:rPr>
            </w:pPr>
            <w:r>
              <w:rPr>
                <w:rFonts w:hint="eastAsia"/>
                <w:color w:val="auto"/>
                <w:highlight w:val="none"/>
              </w:rPr>
              <w:t>年龄</w:t>
            </w:r>
          </w:p>
        </w:tc>
        <w:tc>
          <w:tcPr>
            <w:tcW w:w="746" w:type="dxa"/>
            <w:tcBorders>
              <w:top w:val="single" w:color="auto" w:sz="8" w:space="0"/>
              <w:left w:val="single" w:color="auto" w:sz="4" w:space="0"/>
              <w:bottom w:val="single" w:color="auto" w:sz="4" w:space="0"/>
              <w:right w:val="single" w:color="auto" w:sz="4" w:space="0"/>
            </w:tcBorders>
            <w:noWrap w:val="0"/>
            <w:vAlign w:val="center"/>
          </w:tcPr>
          <w:p w14:paraId="14D7C4D2">
            <w:pPr>
              <w:spacing w:line="240" w:lineRule="auto"/>
              <w:ind w:firstLine="0" w:firstLineChars="0"/>
              <w:jc w:val="center"/>
              <w:rPr>
                <w:color w:val="auto"/>
                <w:highlight w:val="none"/>
              </w:rPr>
            </w:pPr>
            <w:r>
              <w:rPr>
                <w:rFonts w:hint="eastAsia"/>
                <w:color w:val="auto"/>
                <w:highlight w:val="none"/>
              </w:rPr>
              <w:t>学历</w:t>
            </w:r>
          </w:p>
        </w:tc>
        <w:tc>
          <w:tcPr>
            <w:tcW w:w="1270" w:type="dxa"/>
            <w:tcBorders>
              <w:top w:val="single" w:color="auto" w:sz="8" w:space="0"/>
              <w:left w:val="single" w:color="auto" w:sz="4" w:space="0"/>
              <w:bottom w:val="single" w:color="auto" w:sz="4" w:space="0"/>
              <w:right w:val="single" w:color="auto" w:sz="4" w:space="0"/>
            </w:tcBorders>
            <w:noWrap w:val="0"/>
            <w:vAlign w:val="center"/>
          </w:tcPr>
          <w:p w14:paraId="33EC8A71">
            <w:pPr>
              <w:spacing w:line="240" w:lineRule="auto"/>
              <w:ind w:firstLine="0" w:firstLineChars="0"/>
              <w:jc w:val="center"/>
              <w:rPr>
                <w:color w:val="auto"/>
                <w:highlight w:val="none"/>
              </w:rPr>
            </w:pPr>
            <w:r>
              <w:rPr>
                <w:rFonts w:hint="eastAsia"/>
                <w:color w:val="auto"/>
                <w:highlight w:val="none"/>
              </w:rPr>
              <w:t>职称/资格</w:t>
            </w:r>
          </w:p>
        </w:tc>
        <w:tc>
          <w:tcPr>
            <w:tcW w:w="829" w:type="dxa"/>
            <w:tcBorders>
              <w:top w:val="single" w:color="auto" w:sz="8" w:space="0"/>
              <w:left w:val="single" w:color="auto" w:sz="4" w:space="0"/>
              <w:bottom w:val="single" w:color="auto" w:sz="4" w:space="0"/>
              <w:right w:val="single" w:color="auto" w:sz="4" w:space="0"/>
            </w:tcBorders>
            <w:noWrap w:val="0"/>
            <w:vAlign w:val="center"/>
          </w:tcPr>
          <w:p w14:paraId="21753E11">
            <w:pPr>
              <w:spacing w:line="240" w:lineRule="auto"/>
              <w:ind w:firstLine="0" w:firstLineChars="0"/>
              <w:jc w:val="center"/>
              <w:rPr>
                <w:color w:val="auto"/>
                <w:highlight w:val="none"/>
              </w:rPr>
            </w:pPr>
            <w:r>
              <w:rPr>
                <w:rFonts w:hint="eastAsia"/>
                <w:color w:val="auto"/>
                <w:highlight w:val="none"/>
              </w:rPr>
              <w:t>专业</w:t>
            </w:r>
          </w:p>
        </w:tc>
        <w:tc>
          <w:tcPr>
            <w:tcW w:w="920" w:type="dxa"/>
            <w:tcBorders>
              <w:top w:val="single" w:color="auto" w:sz="8" w:space="0"/>
              <w:left w:val="single" w:color="auto" w:sz="4" w:space="0"/>
              <w:bottom w:val="single" w:color="auto" w:sz="4" w:space="0"/>
              <w:right w:val="single" w:color="auto" w:sz="4" w:space="0"/>
            </w:tcBorders>
            <w:noWrap w:val="0"/>
            <w:vAlign w:val="center"/>
          </w:tcPr>
          <w:p w14:paraId="26529D60">
            <w:pPr>
              <w:spacing w:line="240" w:lineRule="auto"/>
              <w:ind w:firstLine="0" w:firstLineChars="0"/>
              <w:jc w:val="center"/>
              <w:rPr>
                <w:color w:val="auto"/>
                <w:highlight w:val="none"/>
              </w:rPr>
            </w:pPr>
            <w:r>
              <w:rPr>
                <w:rFonts w:hint="eastAsia"/>
                <w:color w:val="auto"/>
                <w:highlight w:val="none"/>
              </w:rPr>
              <w:t>经验</w:t>
            </w:r>
          </w:p>
          <w:p w14:paraId="683364F1">
            <w:pPr>
              <w:spacing w:line="240" w:lineRule="auto"/>
              <w:ind w:firstLine="0" w:firstLineChars="0"/>
              <w:jc w:val="center"/>
              <w:rPr>
                <w:color w:val="auto"/>
                <w:highlight w:val="none"/>
              </w:rPr>
            </w:pPr>
            <w:r>
              <w:rPr>
                <w:rFonts w:hint="eastAsia"/>
                <w:color w:val="auto"/>
                <w:highlight w:val="none"/>
              </w:rPr>
              <w:t>年限</w:t>
            </w:r>
          </w:p>
        </w:tc>
        <w:tc>
          <w:tcPr>
            <w:tcW w:w="1470" w:type="dxa"/>
            <w:tcBorders>
              <w:top w:val="single" w:color="auto" w:sz="8" w:space="0"/>
              <w:left w:val="single" w:color="auto" w:sz="4" w:space="0"/>
              <w:bottom w:val="single" w:color="auto" w:sz="4" w:space="0"/>
              <w:right w:val="single" w:color="auto" w:sz="8" w:space="0"/>
            </w:tcBorders>
            <w:noWrap w:val="0"/>
            <w:vAlign w:val="center"/>
          </w:tcPr>
          <w:p w14:paraId="1E6F271F">
            <w:pPr>
              <w:spacing w:line="240" w:lineRule="auto"/>
              <w:ind w:firstLine="0" w:firstLineChars="0"/>
              <w:jc w:val="center"/>
              <w:rPr>
                <w:color w:val="auto"/>
                <w:highlight w:val="none"/>
              </w:rPr>
            </w:pPr>
            <w:r>
              <w:rPr>
                <w:rFonts w:hint="eastAsia"/>
                <w:color w:val="auto"/>
                <w:highlight w:val="none"/>
              </w:rPr>
              <w:t>在本项目中担任职务</w:t>
            </w:r>
          </w:p>
        </w:tc>
      </w:tr>
      <w:tr w14:paraId="5B1D5C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tcBorders>
              <w:top w:val="single" w:color="auto" w:sz="4" w:space="0"/>
              <w:left w:val="single" w:color="auto" w:sz="8" w:space="0"/>
              <w:bottom w:val="single" w:color="auto" w:sz="4" w:space="0"/>
              <w:right w:val="single" w:color="auto" w:sz="4" w:space="0"/>
            </w:tcBorders>
            <w:noWrap w:val="0"/>
            <w:vAlign w:val="center"/>
          </w:tcPr>
          <w:p w14:paraId="43EE3203">
            <w:pPr>
              <w:spacing w:line="240" w:lineRule="auto"/>
              <w:ind w:firstLine="0" w:firstLineChars="0"/>
              <w:jc w:val="center"/>
              <w:rPr>
                <w:color w:val="auto"/>
                <w:highlight w:val="none"/>
              </w:rPr>
            </w:pPr>
            <w:r>
              <w:rPr>
                <w:rFonts w:hint="eastAsia"/>
                <w:color w:val="auto"/>
                <w:highlight w:val="none"/>
              </w:rPr>
              <w:t>1</w:t>
            </w:r>
          </w:p>
        </w:tc>
        <w:tc>
          <w:tcPr>
            <w:tcW w:w="1112" w:type="dxa"/>
            <w:tcBorders>
              <w:top w:val="single" w:color="auto" w:sz="4" w:space="0"/>
              <w:left w:val="single" w:color="auto" w:sz="4" w:space="0"/>
              <w:bottom w:val="single" w:color="auto" w:sz="4" w:space="0"/>
              <w:right w:val="single" w:color="auto" w:sz="4" w:space="0"/>
            </w:tcBorders>
            <w:noWrap w:val="0"/>
            <w:vAlign w:val="center"/>
          </w:tcPr>
          <w:p w14:paraId="6946F7BB">
            <w:pPr>
              <w:spacing w:line="240" w:lineRule="auto"/>
              <w:ind w:firstLine="0" w:firstLineChars="0"/>
              <w:jc w:val="center"/>
              <w:rPr>
                <w:color w:val="auto"/>
                <w:highlight w:val="none"/>
              </w:rPr>
            </w:pPr>
          </w:p>
        </w:tc>
        <w:tc>
          <w:tcPr>
            <w:tcW w:w="708" w:type="dxa"/>
            <w:tcBorders>
              <w:top w:val="single" w:color="auto" w:sz="4" w:space="0"/>
              <w:left w:val="single" w:color="auto" w:sz="4" w:space="0"/>
              <w:bottom w:val="single" w:color="auto" w:sz="4" w:space="0"/>
              <w:right w:val="single" w:color="auto" w:sz="4" w:space="0"/>
            </w:tcBorders>
            <w:noWrap w:val="0"/>
            <w:vAlign w:val="center"/>
          </w:tcPr>
          <w:p w14:paraId="4C167079">
            <w:pPr>
              <w:spacing w:line="240" w:lineRule="auto"/>
              <w:ind w:firstLine="0" w:firstLineChars="0"/>
              <w:jc w:val="center"/>
              <w:rPr>
                <w:color w:val="auto"/>
                <w:highlight w:val="none"/>
              </w:rPr>
            </w:pPr>
          </w:p>
        </w:tc>
        <w:tc>
          <w:tcPr>
            <w:tcW w:w="905" w:type="dxa"/>
            <w:tcBorders>
              <w:top w:val="single" w:color="auto" w:sz="4" w:space="0"/>
              <w:left w:val="single" w:color="auto" w:sz="4" w:space="0"/>
              <w:bottom w:val="single" w:color="auto" w:sz="4" w:space="0"/>
              <w:right w:val="single" w:color="auto" w:sz="4" w:space="0"/>
            </w:tcBorders>
            <w:noWrap w:val="0"/>
            <w:vAlign w:val="center"/>
          </w:tcPr>
          <w:p w14:paraId="55A8E040">
            <w:pPr>
              <w:spacing w:line="240" w:lineRule="auto"/>
              <w:ind w:firstLine="0" w:firstLineChars="0"/>
              <w:jc w:val="center"/>
              <w:rPr>
                <w:color w:val="auto"/>
                <w:highlight w:val="none"/>
              </w:rPr>
            </w:pPr>
          </w:p>
        </w:tc>
        <w:tc>
          <w:tcPr>
            <w:tcW w:w="746" w:type="dxa"/>
            <w:tcBorders>
              <w:top w:val="single" w:color="auto" w:sz="4" w:space="0"/>
              <w:left w:val="single" w:color="auto" w:sz="4" w:space="0"/>
              <w:bottom w:val="single" w:color="auto" w:sz="4" w:space="0"/>
              <w:right w:val="single" w:color="auto" w:sz="4" w:space="0"/>
            </w:tcBorders>
            <w:noWrap w:val="0"/>
            <w:vAlign w:val="center"/>
          </w:tcPr>
          <w:p w14:paraId="111A3410">
            <w:pPr>
              <w:spacing w:line="240" w:lineRule="auto"/>
              <w:ind w:firstLine="0" w:firstLineChars="0"/>
              <w:jc w:val="center"/>
              <w:rPr>
                <w:color w:val="auto"/>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14:paraId="6CC9A95A">
            <w:pPr>
              <w:spacing w:line="240" w:lineRule="auto"/>
              <w:ind w:firstLine="0" w:firstLineChars="0"/>
              <w:jc w:val="center"/>
              <w:rPr>
                <w:color w:val="auto"/>
                <w:highlight w:val="none"/>
              </w:rPr>
            </w:pPr>
          </w:p>
        </w:tc>
        <w:tc>
          <w:tcPr>
            <w:tcW w:w="829" w:type="dxa"/>
            <w:tcBorders>
              <w:top w:val="single" w:color="auto" w:sz="4" w:space="0"/>
              <w:left w:val="single" w:color="auto" w:sz="4" w:space="0"/>
              <w:bottom w:val="single" w:color="auto" w:sz="4" w:space="0"/>
              <w:right w:val="single" w:color="auto" w:sz="4" w:space="0"/>
            </w:tcBorders>
            <w:noWrap w:val="0"/>
            <w:vAlign w:val="center"/>
          </w:tcPr>
          <w:p w14:paraId="406C2B5C">
            <w:pPr>
              <w:spacing w:line="240" w:lineRule="auto"/>
              <w:ind w:firstLine="0" w:firstLineChars="0"/>
              <w:jc w:val="center"/>
              <w:rPr>
                <w:color w:val="auto"/>
                <w:highlight w:val="none"/>
              </w:rPr>
            </w:pPr>
          </w:p>
        </w:tc>
        <w:tc>
          <w:tcPr>
            <w:tcW w:w="920" w:type="dxa"/>
            <w:tcBorders>
              <w:top w:val="single" w:color="auto" w:sz="4" w:space="0"/>
              <w:left w:val="single" w:color="auto" w:sz="4" w:space="0"/>
              <w:bottom w:val="single" w:color="auto" w:sz="4" w:space="0"/>
              <w:right w:val="single" w:color="auto" w:sz="4" w:space="0"/>
            </w:tcBorders>
            <w:noWrap w:val="0"/>
            <w:vAlign w:val="center"/>
          </w:tcPr>
          <w:p w14:paraId="2D8AA59E">
            <w:pPr>
              <w:spacing w:line="240" w:lineRule="auto"/>
              <w:ind w:firstLine="0" w:firstLineChars="0"/>
              <w:jc w:val="center"/>
              <w:rPr>
                <w:color w:val="auto"/>
                <w:highlight w:val="none"/>
              </w:rPr>
            </w:pPr>
          </w:p>
        </w:tc>
        <w:tc>
          <w:tcPr>
            <w:tcW w:w="1470" w:type="dxa"/>
            <w:tcBorders>
              <w:top w:val="single" w:color="auto" w:sz="4" w:space="0"/>
              <w:left w:val="single" w:color="auto" w:sz="4" w:space="0"/>
              <w:bottom w:val="single" w:color="auto" w:sz="4" w:space="0"/>
              <w:right w:val="single" w:color="auto" w:sz="8" w:space="0"/>
            </w:tcBorders>
            <w:noWrap w:val="0"/>
            <w:vAlign w:val="center"/>
          </w:tcPr>
          <w:p w14:paraId="2855F12F">
            <w:pPr>
              <w:spacing w:line="240" w:lineRule="auto"/>
              <w:ind w:firstLine="0" w:firstLineChars="0"/>
              <w:jc w:val="center"/>
              <w:rPr>
                <w:color w:val="auto"/>
                <w:highlight w:val="none"/>
              </w:rPr>
            </w:pPr>
          </w:p>
        </w:tc>
      </w:tr>
      <w:tr w14:paraId="5EFDB6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tcBorders>
              <w:top w:val="single" w:color="auto" w:sz="4" w:space="0"/>
              <w:left w:val="single" w:color="auto" w:sz="8" w:space="0"/>
              <w:bottom w:val="single" w:color="auto" w:sz="4" w:space="0"/>
              <w:right w:val="single" w:color="auto" w:sz="4" w:space="0"/>
            </w:tcBorders>
            <w:noWrap w:val="0"/>
            <w:vAlign w:val="center"/>
          </w:tcPr>
          <w:p w14:paraId="5A1E0FCA">
            <w:pPr>
              <w:spacing w:line="240" w:lineRule="auto"/>
              <w:ind w:firstLine="0" w:firstLineChars="0"/>
              <w:jc w:val="center"/>
              <w:rPr>
                <w:color w:val="auto"/>
                <w:highlight w:val="none"/>
              </w:rPr>
            </w:pPr>
            <w:r>
              <w:rPr>
                <w:rFonts w:hint="eastAsia"/>
                <w:color w:val="auto"/>
                <w:highlight w:val="none"/>
              </w:rPr>
              <w:t>2</w:t>
            </w:r>
          </w:p>
        </w:tc>
        <w:tc>
          <w:tcPr>
            <w:tcW w:w="1112" w:type="dxa"/>
            <w:tcBorders>
              <w:top w:val="single" w:color="auto" w:sz="4" w:space="0"/>
              <w:left w:val="single" w:color="auto" w:sz="4" w:space="0"/>
              <w:bottom w:val="single" w:color="auto" w:sz="4" w:space="0"/>
              <w:right w:val="single" w:color="auto" w:sz="4" w:space="0"/>
            </w:tcBorders>
            <w:noWrap w:val="0"/>
            <w:vAlign w:val="center"/>
          </w:tcPr>
          <w:p w14:paraId="5F283197">
            <w:pPr>
              <w:spacing w:line="240" w:lineRule="auto"/>
              <w:ind w:firstLine="0" w:firstLineChars="0"/>
              <w:jc w:val="center"/>
              <w:rPr>
                <w:color w:val="auto"/>
                <w:highlight w:val="none"/>
              </w:rPr>
            </w:pPr>
          </w:p>
        </w:tc>
        <w:tc>
          <w:tcPr>
            <w:tcW w:w="708" w:type="dxa"/>
            <w:tcBorders>
              <w:top w:val="single" w:color="auto" w:sz="4" w:space="0"/>
              <w:left w:val="single" w:color="auto" w:sz="4" w:space="0"/>
              <w:bottom w:val="single" w:color="auto" w:sz="4" w:space="0"/>
              <w:right w:val="single" w:color="auto" w:sz="4" w:space="0"/>
            </w:tcBorders>
            <w:noWrap w:val="0"/>
            <w:vAlign w:val="center"/>
          </w:tcPr>
          <w:p w14:paraId="0A1274B3">
            <w:pPr>
              <w:spacing w:line="240" w:lineRule="auto"/>
              <w:ind w:firstLine="0" w:firstLineChars="0"/>
              <w:jc w:val="center"/>
              <w:rPr>
                <w:color w:val="auto"/>
                <w:highlight w:val="none"/>
              </w:rPr>
            </w:pPr>
          </w:p>
        </w:tc>
        <w:tc>
          <w:tcPr>
            <w:tcW w:w="905" w:type="dxa"/>
            <w:tcBorders>
              <w:top w:val="single" w:color="auto" w:sz="4" w:space="0"/>
              <w:left w:val="single" w:color="auto" w:sz="4" w:space="0"/>
              <w:bottom w:val="single" w:color="auto" w:sz="4" w:space="0"/>
              <w:right w:val="single" w:color="auto" w:sz="4" w:space="0"/>
            </w:tcBorders>
            <w:noWrap w:val="0"/>
            <w:vAlign w:val="center"/>
          </w:tcPr>
          <w:p w14:paraId="174A995D">
            <w:pPr>
              <w:spacing w:line="240" w:lineRule="auto"/>
              <w:ind w:firstLine="0" w:firstLineChars="0"/>
              <w:jc w:val="center"/>
              <w:rPr>
                <w:color w:val="auto"/>
                <w:highlight w:val="none"/>
              </w:rPr>
            </w:pPr>
          </w:p>
        </w:tc>
        <w:tc>
          <w:tcPr>
            <w:tcW w:w="746" w:type="dxa"/>
            <w:tcBorders>
              <w:top w:val="single" w:color="auto" w:sz="4" w:space="0"/>
              <w:left w:val="single" w:color="auto" w:sz="4" w:space="0"/>
              <w:bottom w:val="single" w:color="auto" w:sz="4" w:space="0"/>
              <w:right w:val="single" w:color="auto" w:sz="4" w:space="0"/>
            </w:tcBorders>
            <w:noWrap w:val="0"/>
            <w:vAlign w:val="center"/>
          </w:tcPr>
          <w:p w14:paraId="32081FFF">
            <w:pPr>
              <w:spacing w:line="240" w:lineRule="auto"/>
              <w:ind w:firstLine="0" w:firstLineChars="0"/>
              <w:jc w:val="center"/>
              <w:rPr>
                <w:color w:val="auto"/>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14:paraId="0309E43F">
            <w:pPr>
              <w:spacing w:line="240" w:lineRule="auto"/>
              <w:ind w:firstLine="0" w:firstLineChars="0"/>
              <w:jc w:val="center"/>
              <w:rPr>
                <w:color w:val="auto"/>
                <w:highlight w:val="none"/>
              </w:rPr>
            </w:pPr>
          </w:p>
        </w:tc>
        <w:tc>
          <w:tcPr>
            <w:tcW w:w="829" w:type="dxa"/>
            <w:tcBorders>
              <w:top w:val="single" w:color="auto" w:sz="4" w:space="0"/>
              <w:left w:val="single" w:color="auto" w:sz="4" w:space="0"/>
              <w:bottom w:val="single" w:color="auto" w:sz="4" w:space="0"/>
              <w:right w:val="single" w:color="auto" w:sz="4" w:space="0"/>
            </w:tcBorders>
            <w:noWrap w:val="0"/>
            <w:vAlign w:val="center"/>
          </w:tcPr>
          <w:p w14:paraId="0F0C003F">
            <w:pPr>
              <w:spacing w:line="240" w:lineRule="auto"/>
              <w:ind w:firstLine="0" w:firstLineChars="0"/>
              <w:jc w:val="center"/>
              <w:rPr>
                <w:color w:val="auto"/>
                <w:highlight w:val="none"/>
              </w:rPr>
            </w:pPr>
          </w:p>
        </w:tc>
        <w:tc>
          <w:tcPr>
            <w:tcW w:w="920" w:type="dxa"/>
            <w:tcBorders>
              <w:top w:val="single" w:color="auto" w:sz="4" w:space="0"/>
              <w:left w:val="single" w:color="auto" w:sz="4" w:space="0"/>
              <w:bottom w:val="single" w:color="auto" w:sz="4" w:space="0"/>
              <w:right w:val="single" w:color="auto" w:sz="4" w:space="0"/>
            </w:tcBorders>
            <w:noWrap w:val="0"/>
            <w:vAlign w:val="center"/>
          </w:tcPr>
          <w:p w14:paraId="17273705">
            <w:pPr>
              <w:spacing w:line="240" w:lineRule="auto"/>
              <w:ind w:firstLine="0" w:firstLineChars="0"/>
              <w:jc w:val="center"/>
              <w:rPr>
                <w:color w:val="auto"/>
                <w:highlight w:val="none"/>
              </w:rPr>
            </w:pPr>
          </w:p>
        </w:tc>
        <w:tc>
          <w:tcPr>
            <w:tcW w:w="1470" w:type="dxa"/>
            <w:tcBorders>
              <w:top w:val="single" w:color="auto" w:sz="4" w:space="0"/>
              <w:left w:val="single" w:color="auto" w:sz="4" w:space="0"/>
              <w:bottom w:val="single" w:color="auto" w:sz="4" w:space="0"/>
              <w:right w:val="single" w:color="auto" w:sz="8" w:space="0"/>
            </w:tcBorders>
            <w:noWrap w:val="0"/>
            <w:vAlign w:val="center"/>
          </w:tcPr>
          <w:p w14:paraId="5F22E58A">
            <w:pPr>
              <w:spacing w:line="240" w:lineRule="auto"/>
              <w:ind w:firstLine="0" w:firstLineChars="0"/>
              <w:jc w:val="center"/>
              <w:rPr>
                <w:color w:val="auto"/>
                <w:highlight w:val="none"/>
              </w:rPr>
            </w:pPr>
          </w:p>
        </w:tc>
      </w:tr>
      <w:tr w14:paraId="3A5B42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tcBorders>
              <w:top w:val="single" w:color="auto" w:sz="4" w:space="0"/>
              <w:left w:val="single" w:color="auto" w:sz="8" w:space="0"/>
              <w:bottom w:val="single" w:color="auto" w:sz="4" w:space="0"/>
              <w:right w:val="single" w:color="auto" w:sz="4" w:space="0"/>
            </w:tcBorders>
            <w:noWrap w:val="0"/>
            <w:vAlign w:val="center"/>
          </w:tcPr>
          <w:p w14:paraId="465493B5">
            <w:pPr>
              <w:spacing w:line="240" w:lineRule="auto"/>
              <w:ind w:firstLine="0" w:firstLineChars="0"/>
              <w:jc w:val="center"/>
              <w:rPr>
                <w:color w:val="auto"/>
                <w:highlight w:val="none"/>
              </w:rPr>
            </w:pPr>
            <w:r>
              <w:rPr>
                <w:rFonts w:hint="eastAsia"/>
                <w:color w:val="auto"/>
                <w:highlight w:val="none"/>
              </w:rPr>
              <w:t>3</w:t>
            </w:r>
          </w:p>
        </w:tc>
        <w:tc>
          <w:tcPr>
            <w:tcW w:w="1112" w:type="dxa"/>
            <w:tcBorders>
              <w:top w:val="single" w:color="auto" w:sz="4" w:space="0"/>
              <w:left w:val="single" w:color="auto" w:sz="4" w:space="0"/>
              <w:bottom w:val="single" w:color="auto" w:sz="4" w:space="0"/>
              <w:right w:val="single" w:color="auto" w:sz="4" w:space="0"/>
            </w:tcBorders>
            <w:noWrap w:val="0"/>
            <w:vAlign w:val="center"/>
          </w:tcPr>
          <w:p w14:paraId="56509A27">
            <w:pPr>
              <w:spacing w:line="240" w:lineRule="auto"/>
              <w:ind w:firstLine="0" w:firstLineChars="0"/>
              <w:jc w:val="center"/>
              <w:rPr>
                <w:color w:val="auto"/>
                <w:highlight w:val="none"/>
              </w:rPr>
            </w:pPr>
          </w:p>
        </w:tc>
        <w:tc>
          <w:tcPr>
            <w:tcW w:w="708" w:type="dxa"/>
            <w:tcBorders>
              <w:top w:val="single" w:color="auto" w:sz="4" w:space="0"/>
              <w:left w:val="single" w:color="auto" w:sz="4" w:space="0"/>
              <w:bottom w:val="single" w:color="auto" w:sz="4" w:space="0"/>
              <w:right w:val="single" w:color="auto" w:sz="4" w:space="0"/>
            </w:tcBorders>
            <w:noWrap w:val="0"/>
            <w:vAlign w:val="center"/>
          </w:tcPr>
          <w:p w14:paraId="6AC6B633">
            <w:pPr>
              <w:spacing w:line="240" w:lineRule="auto"/>
              <w:ind w:firstLine="0" w:firstLineChars="0"/>
              <w:jc w:val="center"/>
              <w:rPr>
                <w:color w:val="auto"/>
                <w:highlight w:val="none"/>
              </w:rPr>
            </w:pPr>
          </w:p>
        </w:tc>
        <w:tc>
          <w:tcPr>
            <w:tcW w:w="905" w:type="dxa"/>
            <w:tcBorders>
              <w:top w:val="single" w:color="auto" w:sz="4" w:space="0"/>
              <w:left w:val="single" w:color="auto" w:sz="4" w:space="0"/>
              <w:bottom w:val="single" w:color="auto" w:sz="4" w:space="0"/>
              <w:right w:val="single" w:color="auto" w:sz="4" w:space="0"/>
            </w:tcBorders>
            <w:noWrap w:val="0"/>
            <w:vAlign w:val="center"/>
          </w:tcPr>
          <w:p w14:paraId="36EEA15D">
            <w:pPr>
              <w:spacing w:line="240" w:lineRule="auto"/>
              <w:ind w:firstLine="0" w:firstLineChars="0"/>
              <w:jc w:val="center"/>
              <w:rPr>
                <w:color w:val="auto"/>
                <w:highlight w:val="none"/>
              </w:rPr>
            </w:pPr>
          </w:p>
        </w:tc>
        <w:tc>
          <w:tcPr>
            <w:tcW w:w="746" w:type="dxa"/>
            <w:tcBorders>
              <w:top w:val="single" w:color="auto" w:sz="4" w:space="0"/>
              <w:left w:val="single" w:color="auto" w:sz="4" w:space="0"/>
              <w:bottom w:val="single" w:color="auto" w:sz="4" w:space="0"/>
              <w:right w:val="single" w:color="auto" w:sz="4" w:space="0"/>
            </w:tcBorders>
            <w:noWrap w:val="0"/>
            <w:vAlign w:val="center"/>
          </w:tcPr>
          <w:p w14:paraId="391FD041">
            <w:pPr>
              <w:spacing w:line="240" w:lineRule="auto"/>
              <w:ind w:firstLine="0" w:firstLineChars="0"/>
              <w:jc w:val="center"/>
              <w:rPr>
                <w:color w:val="auto"/>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14:paraId="6A3507A1">
            <w:pPr>
              <w:spacing w:line="240" w:lineRule="auto"/>
              <w:ind w:firstLine="0" w:firstLineChars="0"/>
              <w:jc w:val="center"/>
              <w:rPr>
                <w:color w:val="auto"/>
                <w:highlight w:val="none"/>
              </w:rPr>
            </w:pPr>
          </w:p>
        </w:tc>
        <w:tc>
          <w:tcPr>
            <w:tcW w:w="829" w:type="dxa"/>
            <w:tcBorders>
              <w:top w:val="single" w:color="auto" w:sz="4" w:space="0"/>
              <w:left w:val="single" w:color="auto" w:sz="4" w:space="0"/>
              <w:bottom w:val="single" w:color="auto" w:sz="4" w:space="0"/>
              <w:right w:val="single" w:color="auto" w:sz="4" w:space="0"/>
            </w:tcBorders>
            <w:noWrap w:val="0"/>
            <w:vAlign w:val="center"/>
          </w:tcPr>
          <w:p w14:paraId="0BE41F77">
            <w:pPr>
              <w:spacing w:line="240" w:lineRule="auto"/>
              <w:ind w:firstLine="0" w:firstLineChars="0"/>
              <w:jc w:val="center"/>
              <w:rPr>
                <w:color w:val="auto"/>
                <w:highlight w:val="none"/>
              </w:rPr>
            </w:pPr>
          </w:p>
        </w:tc>
        <w:tc>
          <w:tcPr>
            <w:tcW w:w="920" w:type="dxa"/>
            <w:tcBorders>
              <w:top w:val="single" w:color="auto" w:sz="4" w:space="0"/>
              <w:left w:val="single" w:color="auto" w:sz="4" w:space="0"/>
              <w:bottom w:val="single" w:color="auto" w:sz="4" w:space="0"/>
              <w:right w:val="single" w:color="auto" w:sz="4" w:space="0"/>
            </w:tcBorders>
            <w:noWrap w:val="0"/>
            <w:vAlign w:val="center"/>
          </w:tcPr>
          <w:p w14:paraId="41F010FA">
            <w:pPr>
              <w:spacing w:line="240" w:lineRule="auto"/>
              <w:ind w:firstLine="0" w:firstLineChars="0"/>
              <w:jc w:val="center"/>
              <w:rPr>
                <w:color w:val="auto"/>
                <w:highlight w:val="none"/>
              </w:rPr>
            </w:pPr>
          </w:p>
        </w:tc>
        <w:tc>
          <w:tcPr>
            <w:tcW w:w="1470" w:type="dxa"/>
            <w:tcBorders>
              <w:top w:val="single" w:color="auto" w:sz="4" w:space="0"/>
              <w:left w:val="single" w:color="auto" w:sz="4" w:space="0"/>
              <w:bottom w:val="single" w:color="auto" w:sz="4" w:space="0"/>
              <w:right w:val="single" w:color="auto" w:sz="8" w:space="0"/>
            </w:tcBorders>
            <w:noWrap w:val="0"/>
            <w:vAlign w:val="center"/>
          </w:tcPr>
          <w:p w14:paraId="4C7FB72F">
            <w:pPr>
              <w:spacing w:line="240" w:lineRule="auto"/>
              <w:ind w:firstLine="0" w:firstLineChars="0"/>
              <w:jc w:val="center"/>
              <w:rPr>
                <w:color w:val="auto"/>
                <w:highlight w:val="none"/>
              </w:rPr>
            </w:pPr>
          </w:p>
        </w:tc>
      </w:tr>
      <w:tr w14:paraId="552097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tcBorders>
              <w:top w:val="single" w:color="auto" w:sz="4" w:space="0"/>
              <w:left w:val="single" w:color="auto" w:sz="8" w:space="0"/>
              <w:bottom w:val="single" w:color="auto" w:sz="4" w:space="0"/>
              <w:right w:val="single" w:color="auto" w:sz="4" w:space="0"/>
            </w:tcBorders>
            <w:noWrap w:val="0"/>
            <w:vAlign w:val="center"/>
          </w:tcPr>
          <w:p w14:paraId="7BB9CA31">
            <w:pPr>
              <w:spacing w:line="240" w:lineRule="auto"/>
              <w:ind w:firstLine="0" w:firstLineChars="0"/>
              <w:jc w:val="center"/>
              <w:rPr>
                <w:color w:val="auto"/>
                <w:highlight w:val="none"/>
              </w:rPr>
            </w:pPr>
            <w:r>
              <w:rPr>
                <w:rFonts w:hint="eastAsia"/>
                <w:color w:val="auto"/>
                <w:highlight w:val="none"/>
              </w:rPr>
              <w:t>4</w:t>
            </w:r>
          </w:p>
        </w:tc>
        <w:tc>
          <w:tcPr>
            <w:tcW w:w="1112" w:type="dxa"/>
            <w:tcBorders>
              <w:top w:val="single" w:color="auto" w:sz="4" w:space="0"/>
              <w:left w:val="single" w:color="auto" w:sz="4" w:space="0"/>
              <w:bottom w:val="single" w:color="auto" w:sz="4" w:space="0"/>
              <w:right w:val="single" w:color="auto" w:sz="4" w:space="0"/>
            </w:tcBorders>
            <w:noWrap w:val="0"/>
            <w:vAlign w:val="center"/>
          </w:tcPr>
          <w:p w14:paraId="2DDDF955">
            <w:pPr>
              <w:spacing w:line="240" w:lineRule="auto"/>
              <w:ind w:firstLine="0" w:firstLineChars="0"/>
              <w:jc w:val="center"/>
              <w:rPr>
                <w:color w:val="auto"/>
                <w:highlight w:val="none"/>
              </w:rPr>
            </w:pPr>
          </w:p>
        </w:tc>
        <w:tc>
          <w:tcPr>
            <w:tcW w:w="708" w:type="dxa"/>
            <w:tcBorders>
              <w:top w:val="single" w:color="auto" w:sz="4" w:space="0"/>
              <w:left w:val="single" w:color="auto" w:sz="4" w:space="0"/>
              <w:bottom w:val="single" w:color="auto" w:sz="4" w:space="0"/>
              <w:right w:val="single" w:color="auto" w:sz="4" w:space="0"/>
            </w:tcBorders>
            <w:noWrap w:val="0"/>
            <w:vAlign w:val="center"/>
          </w:tcPr>
          <w:p w14:paraId="7E3FD5A9">
            <w:pPr>
              <w:spacing w:line="240" w:lineRule="auto"/>
              <w:ind w:firstLine="0" w:firstLineChars="0"/>
              <w:jc w:val="center"/>
              <w:rPr>
                <w:color w:val="auto"/>
                <w:highlight w:val="none"/>
              </w:rPr>
            </w:pPr>
          </w:p>
        </w:tc>
        <w:tc>
          <w:tcPr>
            <w:tcW w:w="905" w:type="dxa"/>
            <w:tcBorders>
              <w:top w:val="single" w:color="auto" w:sz="4" w:space="0"/>
              <w:left w:val="single" w:color="auto" w:sz="4" w:space="0"/>
              <w:bottom w:val="single" w:color="auto" w:sz="4" w:space="0"/>
              <w:right w:val="single" w:color="auto" w:sz="4" w:space="0"/>
            </w:tcBorders>
            <w:noWrap w:val="0"/>
            <w:vAlign w:val="center"/>
          </w:tcPr>
          <w:p w14:paraId="3034BB5D">
            <w:pPr>
              <w:spacing w:line="240" w:lineRule="auto"/>
              <w:ind w:firstLine="0" w:firstLineChars="0"/>
              <w:jc w:val="center"/>
              <w:rPr>
                <w:color w:val="auto"/>
                <w:highlight w:val="none"/>
              </w:rPr>
            </w:pPr>
          </w:p>
        </w:tc>
        <w:tc>
          <w:tcPr>
            <w:tcW w:w="746" w:type="dxa"/>
            <w:tcBorders>
              <w:top w:val="single" w:color="auto" w:sz="4" w:space="0"/>
              <w:left w:val="single" w:color="auto" w:sz="4" w:space="0"/>
              <w:bottom w:val="single" w:color="auto" w:sz="4" w:space="0"/>
              <w:right w:val="single" w:color="auto" w:sz="4" w:space="0"/>
            </w:tcBorders>
            <w:noWrap w:val="0"/>
            <w:vAlign w:val="center"/>
          </w:tcPr>
          <w:p w14:paraId="39A30C27">
            <w:pPr>
              <w:spacing w:line="240" w:lineRule="auto"/>
              <w:ind w:firstLine="0" w:firstLineChars="0"/>
              <w:jc w:val="center"/>
              <w:rPr>
                <w:color w:val="auto"/>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14:paraId="0ABB6B85">
            <w:pPr>
              <w:spacing w:line="240" w:lineRule="auto"/>
              <w:ind w:firstLine="0" w:firstLineChars="0"/>
              <w:jc w:val="center"/>
              <w:rPr>
                <w:color w:val="auto"/>
                <w:highlight w:val="none"/>
              </w:rPr>
            </w:pPr>
          </w:p>
        </w:tc>
        <w:tc>
          <w:tcPr>
            <w:tcW w:w="829" w:type="dxa"/>
            <w:tcBorders>
              <w:top w:val="single" w:color="auto" w:sz="4" w:space="0"/>
              <w:left w:val="single" w:color="auto" w:sz="4" w:space="0"/>
              <w:bottom w:val="single" w:color="auto" w:sz="4" w:space="0"/>
              <w:right w:val="single" w:color="auto" w:sz="4" w:space="0"/>
            </w:tcBorders>
            <w:noWrap w:val="0"/>
            <w:vAlign w:val="center"/>
          </w:tcPr>
          <w:p w14:paraId="0F9B2080">
            <w:pPr>
              <w:spacing w:line="240" w:lineRule="auto"/>
              <w:ind w:firstLine="0" w:firstLineChars="0"/>
              <w:jc w:val="center"/>
              <w:rPr>
                <w:color w:val="auto"/>
                <w:highlight w:val="none"/>
              </w:rPr>
            </w:pPr>
          </w:p>
        </w:tc>
        <w:tc>
          <w:tcPr>
            <w:tcW w:w="920" w:type="dxa"/>
            <w:tcBorders>
              <w:top w:val="single" w:color="auto" w:sz="4" w:space="0"/>
              <w:left w:val="single" w:color="auto" w:sz="4" w:space="0"/>
              <w:bottom w:val="single" w:color="auto" w:sz="4" w:space="0"/>
              <w:right w:val="single" w:color="auto" w:sz="4" w:space="0"/>
            </w:tcBorders>
            <w:noWrap w:val="0"/>
            <w:vAlign w:val="center"/>
          </w:tcPr>
          <w:p w14:paraId="03E4060E">
            <w:pPr>
              <w:spacing w:line="240" w:lineRule="auto"/>
              <w:ind w:firstLine="0" w:firstLineChars="0"/>
              <w:jc w:val="center"/>
              <w:rPr>
                <w:color w:val="auto"/>
                <w:highlight w:val="none"/>
              </w:rPr>
            </w:pPr>
          </w:p>
        </w:tc>
        <w:tc>
          <w:tcPr>
            <w:tcW w:w="1470" w:type="dxa"/>
            <w:tcBorders>
              <w:top w:val="single" w:color="auto" w:sz="4" w:space="0"/>
              <w:left w:val="single" w:color="auto" w:sz="4" w:space="0"/>
              <w:bottom w:val="single" w:color="auto" w:sz="4" w:space="0"/>
              <w:right w:val="single" w:color="auto" w:sz="8" w:space="0"/>
            </w:tcBorders>
            <w:noWrap w:val="0"/>
            <w:vAlign w:val="center"/>
          </w:tcPr>
          <w:p w14:paraId="3E6E49B4">
            <w:pPr>
              <w:spacing w:line="240" w:lineRule="auto"/>
              <w:ind w:firstLine="0" w:firstLineChars="0"/>
              <w:jc w:val="center"/>
              <w:rPr>
                <w:color w:val="auto"/>
                <w:highlight w:val="none"/>
              </w:rPr>
            </w:pPr>
          </w:p>
        </w:tc>
      </w:tr>
      <w:tr w14:paraId="7E6180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tcBorders>
              <w:top w:val="single" w:color="auto" w:sz="4" w:space="0"/>
              <w:left w:val="single" w:color="auto" w:sz="8" w:space="0"/>
              <w:bottom w:val="single" w:color="auto" w:sz="4" w:space="0"/>
              <w:right w:val="single" w:color="auto" w:sz="4" w:space="0"/>
            </w:tcBorders>
            <w:noWrap w:val="0"/>
            <w:vAlign w:val="center"/>
          </w:tcPr>
          <w:p w14:paraId="59169810">
            <w:pPr>
              <w:spacing w:line="240" w:lineRule="auto"/>
              <w:ind w:firstLine="0" w:firstLineChars="0"/>
              <w:jc w:val="center"/>
              <w:rPr>
                <w:color w:val="auto"/>
                <w:highlight w:val="none"/>
              </w:rPr>
            </w:pPr>
            <w:r>
              <w:rPr>
                <w:rFonts w:hint="eastAsia"/>
                <w:color w:val="auto"/>
                <w:highlight w:val="none"/>
              </w:rPr>
              <w:t>5</w:t>
            </w:r>
          </w:p>
        </w:tc>
        <w:tc>
          <w:tcPr>
            <w:tcW w:w="1112" w:type="dxa"/>
            <w:tcBorders>
              <w:top w:val="single" w:color="auto" w:sz="4" w:space="0"/>
              <w:left w:val="single" w:color="auto" w:sz="4" w:space="0"/>
              <w:bottom w:val="single" w:color="auto" w:sz="4" w:space="0"/>
              <w:right w:val="single" w:color="auto" w:sz="4" w:space="0"/>
            </w:tcBorders>
            <w:noWrap w:val="0"/>
            <w:vAlign w:val="center"/>
          </w:tcPr>
          <w:p w14:paraId="6C637360">
            <w:pPr>
              <w:spacing w:line="240" w:lineRule="auto"/>
              <w:ind w:firstLine="0" w:firstLineChars="0"/>
              <w:jc w:val="center"/>
              <w:rPr>
                <w:color w:val="auto"/>
                <w:highlight w:val="none"/>
              </w:rPr>
            </w:pPr>
          </w:p>
        </w:tc>
        <w:tc>
          <w:tcPr>
            <w:tcW w:w="708" w:type="dxa"/>
            <w:tcBorders>
              <w:top w:val="single" w:color="auto" w:sz="4" w:space="0"/>
              <w:left w:val="single" w:color="auto" w:sz="4" w:space="0"/>
              <w:bottom w:val="single" w:color="auto" w:sz="4" w:space="0"/>
              <w:right w:val="single" w:color="auto" w:sz="4" w:space="0"/>
            </w:tcBorders>
            <w:noWrap w:val="0"/>
            <w:vAlign w:val="center"/>
          </w:tcPr>
          <w:p w14:paraId="2555F58E">
            <w:pPr>
              <w:spacing w:line="240" w:lineRule="auto"/>
              <w:ind w:firstLine="0" w:firstLineChars="0"/>
              <w:jc w:val="center"/>
              <w:rPr>
                <w:color w:val="auto"/>
                <w:highlight w:val="none"/>
              </w:rPr>
            </w:pPr>
          </w:p>
        </w:tc>
        <w:tc>
          <w:tcPr>
            <w:tcW w:w="905" w:type="dxa"/>
            <w:tcBorders>
              <w:top w:val="single" w:color="auto" w:sz="4" w:space="0"/>
              <w:left w:val="single" w:color="auto" w:sz="4" w:space="0"/>
              <w:bottom w:val="single" w:color="auto" w:sz="4" w:space="0"/>
              <w:right w:val="single" w:color="auto" w:sz="4" w:space="0"/>
            </w:tcBorders>
            <w:noWrap w:val="0"/>
            <w:vAlign w:val="center"/>
          </w:tcPr>
          <w:p w14:paraId="23789680">
            <w:pPr>
              <w:spacing w:line="240" w:lineRule="auto"/>
              <w:ind w:firstLine="0" w:firstLineChars="0"/>
              <w:jc w:val="center"/>
              <w:rPr>
                <w:color w:val="auto"/>
                <w:highlight w:val="none"/>
              </w:rPr>
            </w:pPr>
          </w:p>
        </w:tc>
        <w:tc>
          <w:tcPr>
            <w:tcW w:w="746" w:type="dxa"/>
            <w:tcBorders>
              <w:top w:val="single" w:color="auto" w:sz="4" w:space="0"/>
              <w:left w:val="single" w:color="auto" w:sz="4" w:space="0"/>
              <w:bottom w:val="single" w:color="auto" w:sz="4" w:space="0"/>
              <w:right w:val="single" w:color="auto" w:sz="4" w:space="0"/>
            </w:tcBorders>
            <w:noWrap w:val="0"/>
            <w:vAlign w:val="center"/>
          </w:tcPr>
          <w:p w14:paraId="2F2E9195">
            <w:pPr>
              <w:spacing w:line="240" w:lineRule="auto"/>
              <w:ind w:firstLine="0" w:firstLineChars="0"/>
              <w:jc w:val="center"/>
              <w:rPr>
                <w:color w:val="auto"/>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14:paraId="6E5C3EDF">
            <w:pPr>
              <w:spacing w:line="240" w:lineRule="auto"/>
              <w:ind w:firstLine="0" w:firstLineChars="0"/>
              <w:jc w:val="center"/>
              <w:rPr>
                <w:color w:val="auto"/>
                <w:highlight w:val="none"/>
              </w:rPr>
            </w:pPr>
          </w:p>
        </w:tc>
        <w:tc>
          <w:tcPr>
            <w:tcW w:w="829" w:type="dxa"/>
            <w:tcBorders>
              <w:top w:val="single" w:color="auto" w:sz="4" w:space="0"/>
              <w:left w:val="single" w:color="auto" w:sz="4" w:space="0"/>
              <w:bottom w:val="single" w:color="auto" w:sz="4" w:space="0"/>
              <w:right w:val="single" w:color="auto" w:sz="4" w:space="0"/>
            </w:tcBorders>
            <w:noWrap w:val="0"/>
            <w:vAlign w:val="center"/>
          </w:tcPr>
          <w:p w14:paraId="111A278C">
            <w:pPr>
              <w:spacing w:line="240" w:lineRule="auto"/>
              <w:ind w:firstLine="0" w:firstLineChars="0"/>
              <w:jc w:val="center"/>
              <w:rPr>
                <w:color w:val="auto"/>
                <w:highlight w:val="none"/>
              </w:rPr>
            </w:pPr>
          </w:p>
        </w:tc>
        <w:tc>
          <w:tcPr>
            <w:tcW w:w="920" w:type="dxa"/>
            <w:tcBorders>
              <w:top w:val="single" w:color="auto" w:sz="4" w:space="0"/>
              <w:left w:val="single" w:color="auto" w:sz="4" w:space="0"/>
              <w:bottom w:val="single" w:color="auto" w:sz="4" w:space="0"/>
              <w:right w:val="single" w:color="auto" w:sz="4" w:space="0"/>
            </w:tcBorders>
            <w:noWrap w:val="0"/>
            <w:vAlign w:val="center"/>
          </w:tcPr>
          <w:p w14:paraId="50C58A7A">
            <w:pPr>
              <w:spacing w:line="240" w:lineRule="auto"/>
              <w:ind w:firstLine="0" w:firstLineChars="0"/>
              <w:jc w:val="center"/>
              <w:rPr>
                <w:color w:val="auto"/>
                <w:highlight w:val="none"/>
              </w:rPr>
            </w:pPr>
          </w:p>
        </w:tc>
        <w:tc>
          <w:tcPr>
            <w:tcW w:w="1470" w:type="dxa"/>
            <w:tcBorders>
              <w:top w:val="single" w:color="auto" w:sz="4" w:space="0"/>
              <w:left w:val="single" w:color="auto" w:sz="4" w:space="0"/>
              <w:bottom w:val="single" w:color="auto" w:sz="4" w:space="0"/>
              <w:right w:val="single" w:color="auto" w:sz="8" w:space="0"/>
            </w:tcBorders>
            <w:noWrap w:val="0"/>
            <w:vAlign w:val="center"/>
          </w:tcPr>
          <w:p w14:paraId="724C839D">
            <w:pPr>
              <w:spacing w:line="240" w:lineRule="auto"/>
              <w:ind w:firstLine="0" w:firstLineChars="0"/>
              <w:jc w:val="center"/>
              <w:rPr>
                <w:color w:val="auto"/>
                <w:highlight w:val="none"/>
              </w:rPr>
            </w:pPr>
          </w:p>
        </w:tc>
      </w:tr>
      <w:tr w14:paraId="675093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tcBorders>
              <w:top w:val="single" w:color="auto" w:sz="4" w:space="0"/>
              <w:left w:val="single" w:color="auto" w:sz="8" w:space="0"/>
              <w:bottom w:val="single" w:color="auto" w:sz="4" w:space="0"/>
              <w:right w:val="single" w:color="auto" w:sz="4" w:space="0"/>
            </w:tcBorders>
            <w:noWrap w:val="0"/>
            <w:vAlign w:val="center"/>
          </w:tcPr>
          <w:p w14:paraId="24C9EFEA">
            <w:pPr>
              <w:spacing w:line="240" w:lineRule="auto"/>
              <w:ind w:firstLine="0" w:firstLineChars="0"/>
              <w:jc w:val="center"/>
              <w:rPr>
                <w:color w:val="auto"/>
                <w:highlight w:val="none"/>
              </w:rPr>
            </w:pPr>
            <w:r>
              <w:rPr>
                <w:rFonts w:hint="eastAsia"/>
                <w:color w:val="auto"/>
                <w:highlight w:val="none"/>
              </w:rPr>
              <w:t>6</w:t>
            </w:r>
          </w:p>
        </w:tc>
        <w:tc>
          <w:tcPr>
            <w:tcW w:w="1112" w:type="dxa"/>
            <w:tcBorders>
              <w:top w:val="single" w:color="auto" w:sz="4" w:space="0"/>
              <w:left w:val="single" w:color="auto" w:sz="4" w:space="0"/>
              <w:bottom w:val="single" w:color="auto" w:sz="4" w:space="0"/>
              <w:right w:val="single" w:color="auto" w:sz="4" w:space="0"/>
            </w:tcBorders>
            <w:noWrap w:val="0"/>
            <w:vAlign w:val="center"/>
          </w:tcPr>
          <w:p w14:paraId="6E13F25D">
            <w:pPr>
              <w:spacing w:line="240" w:lineRule="auto"/>
              <w:ind w:firstLine="0" w:firstLineChars="0"/>
              <w:jc w:val="center"/>
              <w:rPr>
                <w:color w:val="auto"/>
                <w:highlight w:val="none"/>
              </w:rPr>
            </w:pPr>
          </w:p>
        </w:tc>
        <w:tc>
          <w:tcPr>
            <w:tcW w:w="708" w:type="dxa"/>
            <w:tcBorders>
              <w:top w:val="single" w:color="auto" w:sz="4" w:space="0"/>
              <w:left w:val="single" w:color="auto" w:sz="4" w:space="0"/>
              <w:bottom w:val="single" w:color="auto" w:sz="4" w:space="0"/>
              <w:right w:val="single" w:color="auto" w:sz="4" w:space="0"/>
            </w:tcBorders>
            <w:noWrap w:val="0"/>
            <w:vAlign w:val="center"/>
          </w:tcPr>
          <w:p w14:paraId="76B3109D">
            <w:pPr>
              <w:spacing w:line="240" w:lineRule="auto"/>
              <w:ind w:firstLine="0" w:firstLineChars="0"/>
              <w:jc w:val="center"/>
              <w:rPr>
                <w:color w:val="auto"/>
                <w:highlight w:val="none"/>
              </w:rPr>
            </w:pPr>
          </w:p>
        </w:tc>
        <w:tc>
          <w:tcPr>
            <w:tcW w:w="905" w:type="dxa"/>
            <w:tcBorders>
              <w:top w:val="single" w:color="auto" w:sz="4" w:space="0"/>
              <w:left w:val="single" w:color="auto" w:sz="4" w:space="0"/>
              <w:bottom w:val="single" w:color="auto" w:sz="4" w:space="0"/>
              <w:right w:val="single" w:color="auto" w:sz="4" w:space="0"/>
            </w:tcBorders>
            <w:noWrap w:val="0"/>
            <w:vAlign w:val="center"/>
          </w:tcPr>
          <w:p w14:paraId="7FA51E4D">
            <w:pPr>
              <w:spacing w:line="240" w:lineRule="auto"/>
              <w:ind w:firstLine="0" w:firstLineChars="0"/>
              <w:jc w:val="center"/>
              <w:rPr>
                <w:color w:val="auto"/>
                <w:highlight w:val="none"/>
              </w:rPr>
            </w:pPr>
          </w:p>
        </w:tc>
        <w:tc>
          <w:tcPr>
            <w:tcW w:w="746" w:type="dxa"/>
            <w:tcBorders>
              <w:top w:val="single" w:color="auto" w:sz="4" w:space="0"/>
              <w:left w:val="single" w:color="auto" w:sz="4" w:space="0"/>
              <w:bottom w:val="single" w:color="auto" w:sz="4" w:space="0"/>
              <w:right w:val="single" w:color="auto" w:sz="4" w:space="0"/>
            </w:tcBorders>
            <w:noWrap w:val="0"/>
            <w:vAlign w:val="center"/>
          </w:tcPr>
          <w:p w14:paraId="16A18501">
            <w:pPr>
              <w:spacing w:line="240" w:lineRule="auto"/>
              <w:ind w:firstLine="0" w:firstLineChars="0"/>
              <w:jc w:val="center"/>
              <w:rPr>
                <w:color w:val="auto"/>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14:paraId="030688CE">
            <w:pPr>
              <w:spacing w:line="240" w:lineRule="auto"/>
              <w:ind w:firstLine="0" w:firstLineChars="0"/>
              <w:jc w:val="center"/>
              <w:rPr>
                <w:color w:val="auto"/>
                <w:highlight w:val="none"/>
              </w:rPr>
            </w:pPr>
          </w:p>
        </w:tc>
        <w:tc>
          <w:tcPr>
            <w:tcW w:w="829" w:type="dxa"/>
            <w:tcBorders>
              <w:top w:val="single" w:color="auto" w:sz="4" w:space="0"/>
              <w:left w:val="single" w:color="auto" w:sz="4" w:space="0"/>
              <w:bottom w:val="single" w:color="auto" w:sz="4" w:space="0"/>
              <w:right w:val="single" w:color="auto" w:sz="4" w:space="0"/>
            </w:tcBorders>
            <w:noWrap w:val="0"/>
            <w:vAlign w:val="center"/>
          </w:tcPr>
          <w:p w14:paraId="00752CDE">
            <w:pPr>
              <w:spacing w:line="240" w:lineRule="auto"/>
              <w:ind w:firstLine="0" w:firstLineChars="0"/>
              <w:jc w:val="center"/>
              <w:rPr>
                <w:color w:val="auto"/>
                <w:highlight w:val="none"/>
              </w:rPr>
            </w:pPr>
          </w:p>
        </w:tc>
        <w:tc>
          <w:tcPr>
            <w:tcW w:w="920" w:type="dxa"/>
            <w:tcBorders>
              <w:top w:val="single" w:color="auto" w:sz="4" w:space="0"/>
              <w:left w:val="single" w:color="auto" w:sz="4" w:space="0"/>
              <w:bottom w:val="single" w:color="auto" w:sz="4" w:space="0"/>
              <w:right w:val="single" w:color="auto" w:sz="4" w:space="0"/>
            </w:tcBorders>
            <w:noWrap w:val="0"/>
            <w:vAlign w:val="center"/>
          </w:tcPr>
          <w:p w14:paraId="28D4D5E8">
            <w:pPr>
              <w:spacing w:line="240" w:lineRule="auto"/>
              <w:ind w:firstLine="0" w:firstLineChars="0"/>
              <w:jc w:val="center"/>
              <w:rPr>
                <w:color w:val="auto"/>
                <w:highlight w:val="none"/>
              </w:rPr>
            </w:pPr>
          </w:p>
        </w:tc>
        <w:tc>
          <w:tcPr>
            <w:tcW w:w="1470" w:type="dxa"/>
            <w:tcBorders>
              <w:top w:val="single" w:color="auto" w:sz="4" w:space="0"/>
              <w:left w:val="single" w:color="auto" w:sz="4" w:space="0"/>
              <w:bottom w:val="single" w:color="auto" w:sz="4" w:space="0"/>
              <w:right w:val="single" w:color="auto" w:sz="8" w:space="0"/>
            </w:tcBorders>
            <w:noWrap w:val="0"/>
            <w:vAlign w:val="center"/>
          </w:tcPr>
          <w:p w14:paraId="06E26681">
            <w:pPr>
              <w:spacing w:line="240" w:lineRule="auto"/>
              <w:ind w:firstLine="0" w:firstLineChars="0"/>
              <w:jc w:val="center"/>
              <w:rPr>
                <w:color w:val="auto"/>
                <w:highlight w:val="none"/>
              </w:rPr>
            </w:pPr>
          </w:p>
        </w:tc>
      </w:tr>
      <w:tr w14:paraId="5C7D16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tcBorders>
              <w:top w:val="single" w:color="auto" w:sz="4" w:space="0"/>
              <w:left w:val="single" w:color="auto" w:sz="8" w:space="0"/>
              <w:bottom w:val="single" w:color="auto" w:sz="4" w:space="0"/>
              <w:right w:val="single" w:color="auto" w:sz="4" w:space="0"/>
            </w:tcBorders>
            <w:noWrap w:val="0"/>
            <w:vAlign w:val="center"/>
          </w:tcPr>
          <w:p w14:paraId="507FDBD3">
            <w:pPr>
              <w:spacing w:line="240" w:lineRule="auto"/>
              <w:ind w:firstLine="0" w:firstLineChars="0"/>
              <w:jc w:val="center"/>
              <w:rPr>
                <w:color w:val="auto"/>
                <w:highlight w:val="none"/>
              </w:rPr>
            </w:pPr>
            <w:r>
              <w:rPr>
                <w:rFonts w:hint="eastAsia"/>
                <w:color w:val="auto"/>
                <w:highlight w:val="none"/>
              </w:rPr>
              <w:t>…</w:t>
            </w:r>
          </w:p>
        </w:tc>
        <w:tc>
          <w:tcPr>
            <w:tcW w:w="1112" w:type="dxa"/>
            <w:tcBorders>
              <w:top w:val="single" w:color="auto" w:sz="4" w:space="0"/>
              <w:left w:val="single" w:color="auto" w:sz="4" w:space="0"/>
              <w:bottom w:val="single" w:color="auto" w:sz="4" w:space="0"/>
              <w:right w:val="single" w:color="auto" w:sz="4" w:space="0"/>
            </w:tcBorders>
            <w:noWrap w:val="0"/>
            <w:vAlign w:val="center"/>
          </w:tcPr>
          <w:p w14:paraId="72C42437">
            <w:pPr>
              <w:spacing w:line="240" w:lineRule="auto"/>
              <w:ind w:firstLine="0" w:firstLineChars="0"/>
              <w:jc w:val="center"/>
              <w:rPr>
                <w:color w:val="auto"/>
                <w:highlight w:val="none"/>
              </w:rPr>
            </w:pPr>
          </w:p>
        </w:tc>
        <w:tc>
          <w:tcPr>
            <w:tcW w:w="708" w:type="dxa"/>
            <w:tcBorders>
              <w:top w:val="single" w:color="auto" w:sz="4" w:space="0"/>
              <w:left w:val="single" w:color="auto" w:sz="4" w:space="0"/>
              <w:bottom w:val="single" w:color="auto" w:sz="4" w:space="0"/>
              <w:right w:val="single" w:color="auto" w:sz="4" w:space="0"/>
            </w:tcBorders>
            <w:noWrap w:val="0"/>
            <w:vAlign w:val="center"/>
          </w:tcPr>
          <w:p w14:paraId="3DCA1E42">
            <w:pPr>
              <w:spacing w:line="240" w:lineRule="auto"/>
              <w:ind w:firstLine="0" w:firstLineChars="0"/>
              <w:jc w:val="center"/>
              <w:rPr>
                <w:color w:val="auto"/>
                <w:highlight w:val="none"/>
              </w:rPr>
            </w:pPr>
          </w:p>
        </w:tc>
        <w:tc>
          <w:tcPr>
            <w:tcW w:w="905" w:type="dxa"/>
            <w:tcBorders>
              <w:top w:val="single" w:color="auto" w:sz="4" w:space="0"/>
              <w:left w:val="single" w:color="auto" w:sz="4" w:space="0"/>
              <w:bottom w:val="single" w:color="auto" w:sz="4" w:space="0"/>
              <w:right w:val="single" w:color="auto" w:sz="4" w:space="0"/>
            </w:tcBorders>
            <w:noWrap w:val="0"/>
            <w:vAlign w:val="center"/>
          </w:tcPr>
          <w:p w14:paraId="18D34E83">
            <w:pPr>
              <w:spacing w:line="240" w:lineRule="auto"/>
              <w:ind w:firstLine="0" w:firstLineChars="0"/>
              <w:jc w:val="center"/>
              <w:rPr>
                <w:color w:val="auto"/>
                <w:highlight w:val="none"/>
              </w:rPr>
            </w:pPr>
          </w:p>
        </w:tc>
        <w:tc>
          <w:tcPr>
            <w:tcW w:w="746" w:type="dxa"/>
            <w:tcBorders>
              <w:top w:val="single" w:color="auto" w:sz="4" w:space="0"/>
              <w:left w:val="single" w:color="auto" w:sz="4" w:space="0"/>
              <w:bottom w:val="single" w:color="auto" w:sz="4" w:space="0"/>
              <w:right w:val="single" w:color="auto" w:sz="4" w:space="0"/>
            </w:tcBorders>
            <w:noWrap w:val="0"/>
            <w:vAlign w:val="center"/>
          </w:tcPr>
          <w:p w14:paraId="33831F6E">
            <w:pPr>
              <w:spacing w:line="240" w:lineRule="auto"/>
              <w:ind w:firstLine="0" w:firstLineChars="0"/>
              <w:jc w:val="center"/>
              <w:rPr>
                <w:color w:val="auto"/>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14:paraId="2E25B388">
            <w:pPr>
              <w:spacing w:line="240" w:lineRule="auto"/>
              <w:ind w:firstLine="0" w:firstLineChars="0"/>
              <w:jc w:val="center"/>
              <w:rPr>
                <w:color w:val="auto"/>
                <w:highlight w:val="none"/>
              </w:rPr>
            </w:pPr>
          </w:p>
        </w:tc>
        <w:tc>
          <w:tcPr>
            <w:tcW w:w="829" w:type="dxa"/>
            <w:tcBorders>
              <w:top w:val="single" w:color="auto" w:sz="4" w:space="0"/>
              <w:left w:val="single" w:color="auto" w:sz="4" w:space="0"/>
              <w:bottom w:val="single" w:color="auto" w:sz="4" w:space="0"/>
              <w:right w:val="single" w:color="auto" w:sz="4" w:space="0"/>
            </w:tcBorders>
            <w:noWrap w:val="0"/>
            <w:vAlign w:val="center"/>
          </w:tcPr>
          <w:p w14:paraId="2E15FCED">
            <w:pPr>
              <w:spacing w:line="240" w:lineRule="auto"/>
              <w:ind w:firstLine="0" w:firstLineChars="0"/>
              <w:jc w:val="center"/>
              <w:rPr>
                <w:color w:val="auto"/>
                <w:highlight w:val="none"/>
              </w:rPr>
            </w:pPr>
          </w:p>
        </w:tc>
        <w:tc>
          <w:tcPr>
            <w:tcW w:w="920" w:type="dxa"/>
            <w:tcBorders>
              <w:top w:val="single" w:color="auto" w:sz="4" w:space="0"/>
              <w:left w:val="single" w:color="auto" w:sz="4" w:space="0"/>
              <w:bottom w:val="single" w:color="auto" w:sz="4" w:space="0"/>
              <w:right w:val="single" w:color="auto" w:sz="4" w:space="0"/>
            </w:tcBorders>
            <w:noWrap w:val="0"/>
            <w:vAlign w:val="center"/>
          </w:tcPr>
          <w:p w14:paraId="1A37D121">
            <w:pPr>
              <w:spacing w:line="240" w:lineRule="auto"/>
              <w:ind w:firstLine="0" w:firstLineChars="0"/>
              <w:jc w:val="center"/>
              <w:rPr>
                <w:color w:val="auto"/>
                <w:highlight w:val="none"/>
              </w:rPr>
            </w:pPr>
          </w:p>
        </w:tc>
        <w:tc>
          <w:tcPr>
            <w:tcW w:w="1470" w:type="dxa"/>
            <w:tcBorders>
              <w:top w:val="single" w:color="auto" w:sz="4" w:space="0"/>
              <w:left w:val="single" w:color="auto" w:sz="4" w:space="0"/>
              <w:bottom w:val="single" w:color="auto" w:sz="4" w:space="0"/>
              <w:right w:val="single" w:color="auto" w:sz="8" w:space="0"/>
            </w:tcBorders>
            <w:noWrap w:val="0"/>
            <w:vAlign w:val="center"/>
          </w:tcPr>
          <w:p w14:paraId="5151BB26">
            <w:pPr>
              <w:spacing w:line="240" w:lineRule="auto"/>
              <w:ind w:firstLine="0" w:firstLineChars="0"/>
              <w:jc w:val="center"/>
              <w:rPr>
                <w:color w:val="auto"/>
                <w:highlight w:val="none"/>
              </w:rPr>
            </w:pPr>
          </w:p>
        </w:tc>
      </w:tr>
      <w:tr w14:paraId="25AC4E3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tcBorders>
              <w:top w:val="single" w:color="auto" w:sz="4" w:space="0"/>
              <w:left w:val="single" w:color="auto" w:sz="8" w:space="0"/>
              <w:bottom w:val="single" w:color="auto" w:sz="4" w:space="0"/>
              <w:right w:val="single" w:color="auto" w:sz="4" w:space="0"/>
            </w:tcBorders>
            <w:noWrap w:val="0"/>
            <w:vAlign w:val="center"/>
          </w:tcPr>
          <w:p w14:paraId="0123D15C">
            <w:pPr>
              <w:spacing w:line="240" w:lineRule="auto"/>
              <w:ind w:firstLine="0" w:firstLineChars="0"/>
              <w:jc w:val="center"/>
              <w:rPr>
                <w:color w:val="auto"/>
                <w:highlight w:val="none"/>
              </w:rPr>
            </w:pPr>
          </w:p>
        </w:tc>
        <w:tc>
          <w:tcPr>
            <w:tcW w:w="1112" w:type="dxa"/>
            <w:tcBorders>
              <w:top w:val="single" w:color="auto" w:sz="4" w:space="0"/>
              <w:left w:val="single" w:color="auto" w:sz="4" w:space="0"/>
              <w:bottom w:val="single" w:color="auto" w:sz="4" w:space="0"/>
              <w:right w:val="single" w:color="auto" w:sz="4" w:space="0"/>
            </w:tcBorders>
            <w:noWrap w:val="0"/>
            <w:vAlign w:val="center"/>
          </w:tcPr>
          <w:p w14:paraId="5D205D91">
            <w:pPr>
              <w:spacing w:line="240" w:lineRule="auto"/>
              <w:ind w:firstLine="0" w:firstLineChars="0"/>
              <w:jc w:val="center"/>
              <w:rPr>
                <w:color w:val="auto"/>
                <w:highlight w:val="none"/>
              </w:rPr>
            </w:pPr>
          </w:p>
        </w:tc>
        <w:tc>
          <w:tcPr>
            <w:tcW w:w="708" w:type="dxa"/>
            <w:tcBorders>
              <w:top w:val="single" w:color="auto" w:sz="4" w:space="0"/>
              <w:left w:val="single" w:color="auto" w:sz="4" w:space="0"/>
              <w:bottom w:val="single" w:color="auto" w:sz="4" w:space="0"/>
              <w:right w:val="single" w:color="auto" w:sz="4" w:space="0"/>
            </w:tcBorders>
            <w:noWrap w:val="0"/>
            <w:vAlign w:val="center"/>
          </w:tcPr>
          <w:p w14:paraId="16A3F0FC">
            <w:pPr>
              <w:spacing w:line="240" w:lineRule="auto"/>
              <w:ind w:firstLine="0" w:firstLineChars="0"/>
              <w:jc w:val="center"/>
              <w:rPr>
                <w:color w:val="auto"/>
                <w:highlight w:val="none"/>
              </w:rPr>
            </w:pPr>
          </w:p>
        </w:tc>
        <w:tc>
          <w:tcPr>
            <w:tcW w:w="905" w:type="dxa"/>
            <w:tcBorders>
              <w:top w:val="single" w:color="auto" w:sz="4" w:space="0"/>
              <w:left w:val="single" w:color="auto" w:sz="4" w:space="0"/>
              <w:bottom w:val="single" w:color="auto" w:sz="4" w:space="0"/>
              <w:right w:val="single" w:color="auto" w:sz="4" w:space="0"/>
            </w:tcBorders>
            <w:noWrap w:val="0"/>
            <w:vAlign w:val="center"/>
          </w:tcPr>
          <w:p w14:paraId="2F29DCED">
            <w:pPr>
              <w:spacing w:line="240" w:lineRule="auto"/>
              <w:ind w:firstLine="0" w:firstLineChars="0"/>
              <w:jc w:val="center"/>
              <w:rPr>
                <w:color w:val="auto"/>
                <w:highlight w:val="none"/>
              </w:rPr>
            </w:pPr>
          </w:p>
        </w:tc>
        <w:tc>
          <w:tcPr>
            <w:tcW w:w="746" w:type="dxa"/>
            <w:tcBorders>
              <w:top w:val="single" w:color="auto" w:sz="4" w:space="0"/>
              <w:left w:val="single" w:color="auto" w:sz="4" w:space="0"/>
              <w:bottom w:val="single" w:color="auto" w:sz="4" w:space="0"/>
              <w:right w:val="single" w:color="auto" w:sz="4" w:space="0"/>
            </w:tcBorders>
            <w:noWrap w:val="0"/>
            <w:vAlign w:val="center"/>
          </w:tcPr>
          <w:p w14:paraId="61168A08">
            <w:pPr>
              <w:spacing w:line="240" w:lineRule="auto"/>
              <w:ind w:firstLine="0" w:firstLineChars="0"/>
              <w:jc w:val="center"/>
              <w:rPr>
                <w:color w:val="auto"/>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14:paraId="52A3AD67">
            <w:pPr>
              <w:spacing w:line="240" w:lineRule="auto"/>
              <w:ind w:firstLine="0" w:firstLineChars="0"/>
              <w:jc w:val="center"/>
              <w:rPr>
                <w:color w:val="auto"/>
                <w:highlight w:val="none"/>
              </w:rPr>
            </w:pPr>
          </w:p>
        </w:tc>
        <w:tc>
          <w:tcPr>
            <w:tcW w:w="829" w:type="dxa"/>
            <w:tcBorders>
              <w:top w:val="single" w:color="auto" w:sz="4" w:space="0"/>
              <w:left w:val="single" w:color="auto" w:sz="4" w:space="0"/>
              <w:bottom w:val="single" w:color="auto" w:sz="4" w:space="0"/>
              <w:right w:val="single" w:color="auto" w:sz="4" w:space="0"/>
            </w:tcBorders>
            <w:noWrap w:val="0"/>
            <w:vAlign w:val="center"/>
          </w:tcPr>
          <w:p w14:paraId="75357F83">
            <w:pPr>
              <w:spacing w:line="240" w:lineRule="auto"/>
              <w:ind w:firstLine="0" w:firstLineChars="0"/>
              <w:jc w:val="center"/>
              <w:rPr>
                <w:color w:val="auto"/>
                <w:highlight w:val="none"/>
              </w:rPr>
            </w:pPr>
          </w:p>
        </w:tc>
        <w:tc>
          <w:tcPr>
            <w:tcW w:w="920" w:type="dxa"/>
            <w:tcBorders>
              <w:top w:val="single" w:color="auto" w:sz="4" w:space="0"/>
              <w:left w:val="single" w:color="auto" w:sz="4" w:space="0"/>
              <w:bottom w:val="single" w:color="auto" w:sz="4" w:space="0"/>
              <w:right w:val="single" w:color="auto" w:sz="4" w:space="0"/>
            </w:tcBorders>
            <w:noWrap w:val="0"/>
            <w:vAlign w:val="center"/>
          </w:tcPr>
          <w:p w14:paraId="69B2ACA5">
            <w:pPr>
              <w:spacing w:line="240" w:lineRule="auto"/>
              <w:ind w:firstLine="0" w:firstLineChars="0"/>
              <w:jc w:val="center"/>
              <w:rPr>
                <w:color w:val="auto"/>
                <w:highlight w:val="none"/>
              </w:rPr>
            </w:pPr>
          </w:p>
        </w:tc>
        <w:tc>
          <w:tcPr>
            <w:tcW w:w="1470" w:type="dxa"/>
            <w:tcBorders>
              <w:top w:val="single" w:color="auto" w:sz="4" w:space="0"/>
              <w:left w:val="single" w:color="auto" w:sz="4" w:space="0"/>
              <w:bottom w:val="single" w:color="auto" w:sz="4" w:space="0"/>
              <w:right w:val="single" w:color="auto" w:sz="8" w:space="0"/>
            </w:tcBorders>
            <w:noWrap w:val="0"/>
            <w:vAlign w:val="center"/>
          </w:tcPr>
          <w:p w14:paraId="3B84030B">
            <w:pPr>
              <w:spacing w:line="240" w:lineRule="auto"/>
              <w:ind w:firstLine="0" w:firstLineChars="0"/>
              <w:jc w:val="center"/>
              <w:rPr>
                <w:color w:val="auto"/>
                <w:highlight w:val="none"/>
              </w:rPr>
            </w:pPr>
          </w:p>
        </w:tc>
      </w:tr>
      <w:tr w14:paraId="37C32D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tcBorders>
              <w:top w:val="single" w:color="auto" w:sz="4" w:space="0"/>
              <w:left w:val="single" w:color="auto" w:sz="8" w:space="0"/>
              <w:bottom w:val="single" w:color="auto" w:sz="4" w:space="0"/>
              <w:right w:val="single" w:color="auto" w:sz="4" w:space="0"/>
            </w:tcBorders>
            <w:noWrap w:val="0"/>
            <w:vAlign w:val="center"/>
          </w:tcPr>
          <w:p w14:paraId="612FD652">
            <w:pPr>
              <w:spacing w:line="240" w:lineRule="auto"/>
              <w:ind w:firstLine="0" w:firstLineChars="0"/>
              <w:jc w:val="center"/>
              <w:rPr>
                <w:color w:val="auto"/>
                <w:highlight w:val="none"/>
              </w:rPr>
            </w:pPr>
          </w:p>
        </w:tc>
        <w:tc>
          <w:tcPr>
            <w:tcW w:w="1112" w:type="dxa"/>
            <w:tcBorders>
              <w:top w:val="single" w:color="auto" w:sz="4" w:space="0"/>
              <w:left w:val="single" w:color="auto" w:sz="4" w:space="0"/>
              <w:bottom w:val="single" w:color="auto" w:sz="4" w:space="0"/>
              <w:right w:val="single" w:color="auto" w:sz="4" w:space="0"/>
            </w:tcBorders>
            <w:noWrap w:val="0"/>
            <w:vAlign w:val="center"/>
          </w:tcPr>
          <w:p w14:paraId="13E94358">
            <w:pPr>
              <w:spacing w:line="240" w:lineRule="auto"/>
              <w:ind w:firstLine="0" w:firstLineChars="0"/>
              <w:jc w:val="center"/>
              <w:rPr>
                <w:color w:val="auto"/>
                <w:highlight w:val="none"/>
              </w:rPr>
            </w:pPr>
          </w:p>
        </w:tc>
        <w:tc>
          <w:tcPr>
            <w:tcW w:w="708" w:type="dxa"/>
            <w:tcBorders>
              <w:top w:val="single" w:color="auto" w:sz="4" w:space="0"/>
              <w:left w:val="single" w:color="auto" w:sz="4" w:space="0"/>
              <w:bottom w:val="single" w:color="auto" w:sz="4" w:space="0"/>
              <w:right w:val="single" w:color="auto" w:sz="4" w:space="0"/>
            </w:tcBorders>
            <w:noWrap w:val="0"/>
            <w:vAlign w:val="center"/>
          </w:tcPr>
          <w:p w14:paraId="1E054F11">
            <w:pPr>
              <w:spacing w:line="240" w:lineRule="auto"/>
              <w:ind w:firstLine="0" w:firstLineChars="0"/>
              <w:jc w:val="center"/>
              <w:rPr>
                <w:color w:val="auto"/>
                <w:highlight w:val="none"/>
              </w:rPr>
            </w:pPr>
          </w:p>
        </w:tc>
        <w:tc>
          <w:tcPr>
            <w:tcW w:w="905" w:type="dxa"/>
            <w:tcBorders>
              <w:top w:val="single" w:color="auto" w:sz="4" w:space="0"/>
              <w:left w:val="single" w:color="auto" w:sz="4" w:space="0"/>
              <w:bottom w:val="single" w:color="auto" w:sz="4" w:space="0"/>
              <w:right w:val="single" w:color="auto" w:sz="4" w:space="0"/>
            </w:tcBorders>
            <w:noWrap w:val="0"/>
            <w:vAlign w:val="center"/>
          </w:tcPr>
          <w:p w14:paraId="36EC3E2A">
            <w:pPr>
              <w:spacing w:line="240" w:lineRule="auto"/>
              <w:ind w:firstLine="0" w:firstLineChars="0"/>
              <w:jc w:val="center"/>
              <w:rPr>
                <w:color w:val="auto"/>
                <w:highlight w:val="none"/>
              </w:rPr>
            </w:pPr>
          </w:p>
        </w:tc>
        <w:tc>
          <w:tcPr>
            <w:tcW w:w="746" w:type="dxa"/>
            <w:tcBorders>
              <w:top w:val="single" w:color="auto" w:sz="4" w:space="0"/>
              <w:left w:val="single" w:color="auto" w:sz="4" w:space="0"/>
              <w:bottom w:val="single" w:color="auto" w:sz="4" w:space="0"/>
              <w:right w:val="single" w:color="auto" w:sz="4" w:space="0"/>
            </w:tcBorders>
            <w:noWrap w:val="0"/>
            <w:vAlign w:val="center"/>
          </w:tcPr>
          <w:p w14:paraId="6EDD2478">
            <w:pPr>
              <w:spacing w:line="240" w:lineRule="auto"/>
              <w:ind w:firstLine="0" w:firstLineChars="0"/>
              <w:jc w:val="center"/>
              <w:rPr>
                <w:color w:val="auto"/>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14:paraId="23FABE0F">
            <w:pPr>
              <w:spacing w:line="240" w:lineRule="auto"/>
              <w:ind w:firstLine="0" w:firstLineChars="0"/>
              <w:jc w:val="center"/>
              <w:rPr>
                <w:color w:val="auto"/>
                <w:highlight w:val="none"/>
              </w:rPr>
            </w:pPr>
          </w:p>
        </w:tc>
        <w:tc>
          <w:tcPr>
            <w:tcW w:w="829" w:type="dxa"/>
            <w:tcBorders>
              <w:top w:val="single" w:color="auto" w:sz="4" w:space="0"/>
              <w:left w:val="single" w:color="auto" w:sz="4" w:space="0"/>
              <w:bottom w:val="single" w:color="auto" w:sz="4" w:space="0"/>
              <w:right w:val="single" w:color="auto" w:sz="4" w:space="0"/>
            </w:tcBorders>
            <w:noWrap w:val="0"/>
            <w:vAlign w:val="center"/>
          </w:tcPr>
          <w:p w14:paraId="198D7A10">
            <w:pPr>
              <w:spacing w:line="240" w:lineRule="auto"/>
              <w:ind w:firstLine="0" w:firstLineChars="0"/>
              <w:jc w:val="center"/>
              <w:rPr>
                <w:color w:val="auto"/>
                <w:highlight w:val="none"/>
              </w:rPr>
            </w:pPr>
          </w:p>
        </w:tc>
        <w:tc>
          <w:tcPr>
            <w:tcW w:w="920" w:type="dxa"/>
            <w:tcBorders>
              <w:top w:val="single" w:color="auto" w:sz="4" w:space="0"/>
              <w:left w:val="single" w:color="auto" w:sz="4" w:space="0"/>
              <w:bottom w:val="single" w:color="auto" w:sz="4" w:space="0"/>
              <w:right w:val="single" w:color="auto" w:sz="4" w:space="0"/>
            </w:tcBorders>
            <w:noWrap w:val="0"/>
            <w:vAlign w:val="center"/>
          </w:tcPr>
          <w:p w14:paraId="1742AC61">
            <w:pPr>
              <w:spacing w:line="240" w:lineRule="auto"/>
              <w:ind w:firstLine="0" w:firstLineChars="0"/>
              <w:jc w:val="center"/>
              <w:rPr>
                <w:color w:val="auto"/>
                <w:highlight w:val="none"/>
              </w:rPr>
            </w:pPr>
          </w:p>
        </w:tc>
        <w:tc>
          <w:tcPr>
            <w:tcW w:w="1470" w:type="dxa"/>
            <w:tcBorders>
              <w:top w:val="single" w:color="auto" w:sz="4" w:space="0"/>
              <w:left w:val="single" w:color="auto" w:sz="4" w:space="0"/>
              <w:bottom w:val="single" w:color="auto" w:sz="4" w:space="0"/>
              <w:right w:val="single" w:color="auto" w:sz="8" w:space="0"/>
            </w:tcBorders>
            <w:noWrap w:val="0"/>
            <w:vAlign w:val="center"/>
          </w:tcPr>
          <w:p w14:paraId="320AA1A2">
            <w:pPr>
              <w:spacing w:line="240" w:lineRule="auto"/>
              <w:ind w:firstLine="0" w:firstLineChars="0"/>
              <w:jc w:val="center"/>
              <w:rPr>
                <w:color w:val="auto"/>
                <w:highlight w:val="none"/>
              </w:rPr>
            </w:pPr>
          </w:p>
        </w:tc>
      </w:tr>
      <w:tr w14:paraId="35A37C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tcBorders>
              <w:top w:val="single" w:color="auto" w:sz="4" w:space="0"/>
              <w:left w:val="single" w:color="auto" w:sz="8" w:space="0"/>
              <w:bottom w:val="single" w:color="auto" w:sz="4" w:space="0"/>
              <w:right w:val="single" w:color="auto" w:sz="4" w:space="0"/>
            </w:tcBorders>
            <w:noWrap w:val="0"/>
            <w:vAlign w:val="center"/>
          </w:tcPr>
          <w:p w14:paraId="6DB6B6DF">
            <w:pPr>
              <w:spacing w:line="240" w:lineRule="auto"/>
              <w:ind w:firstLine="0" w:firstLineChars="0"/>
              <w:jc w:val="center"/>
              <w:rPr>
                <w:color w:val="auto"/>
                <w:highlight w:val="none"/>
              </w:rPr>
            </w:pPr>
          </w:p>
        </w:tc>
        <w:tc>
          <w:tcPr>
            <w:tcW w:w="1112" w:type="dxa"/>
            <w:tcBorders>
              <w:top w:val="single" w:color="auto" w:sz="4" w:space="0"/>
              <w:left w:val="single" w:color="auto" w:sz="4" w:space="0"/>
              <w:bottom w:val="single" w:color="auto" w:sz="4" w:space="0"/>
              <w:right w:val="single" w:color="auto" w:sz="4" w:space="0"/>
            </w:tcBorders>
            <w:noWrap w:val="0"/>
            <w:vAlign w:val="center"/>
          </w:tcPr>
          <w:p w14:paraId="560E7FFD">
            <w:pPr>
              <w:spacing w:line="240" w:lineRule="auto"/>
              <w:ind w:firstLine="0" w:firstLineChars="0"/>
              <w:jc w:val="center"/>
              <w:rPr>
                <w:color w:val="auto"/>
                <w:highlight w:val="none"/>
              </w:rPr>
            </w:pPr>
          </w:p>
        </w:tc>
        <w:tc>
          <w:tcPr>
            <w:tcW w:w="708" w:type="dxa"/>
            <w:tcBorders>
              <w:top w:val="single" w:color="auto" w:sz="4" w:space="0"/>
              <w:left w:val="single" w:color="auto" w:sz="4" w:space="0"/>
              <w:bottom w:val="single" w:color="auto" w:sz="4" w:space="0"/>
              <w:right w:val="single" w:color="auto" w:sz="4" w:space="0"/>
            </w:tcBorders>
            <w:noWrap w:val="0"/>
            <w:vAlign w:val="center"/>
          </w:tcPr>
          <w:p w14:paraId="11E345A1">
            <w:pPr>
              <w:spacing w:line="240" w:lineRule="auto"/>
              <w:ind w:firstLine="0" w:firstLineChars="0"/>
              <w:jc w:val="center"/>
              <w:rPr>
                <w:color w:val="auto"/>
                <w:highlight w:val="none"/>
              </w:rPr>
            </w:pPr>
          </w:p>
        </w:tc>
        <w:tc>
          <w:tcPr>
            <w:tcW w:w="905" w:type="dxa"/>
            <w:tcBorders>
              <w:top w:val="single" w:color="auto" w:sz="4" w:space="0"/>
              <w:left w:val="single" w:color="auto" w:sz="4" w:space="0"/>
              <w:bottom w:val="single" w:color="auto" w:sz="4" w:space="0"/>
              <w:right w:val="single" w:color="auto" w:sz="4" w:space="0"/>
            </w:tcBorders>
            <w:noWrap w:val="0"/>
            <w:vAlign w:val="center"/>
          </w:tcPr>
          <w:p w14:paraId="5C54C8FD">
            <w:pPr>
              <w:spacing w:line="240" w:lineRule="auto"/>
              <w:ind w:firstLine="0" w:firstLineChars="0"/>
              <w:jc w:val="center"/>
              <w:rPr>
                <w:color w:val="auto"/>
                <w:highlight w:val="none"/>
              </w:rPr>
            </w:pPr>
          </w:p>
        </w:tc>
        <w:tc>
          <w:tcPr>
            <w:tcW w:w="746" w:type="dxa"/>
            <w:tcBorders>
              <w:top w:val="single" w:color="auto" w:sz="4" w:space="0"/>
              <w:left w:val="single" w:color="auto" w:sz="4" w:space="0"/>
              <w:bottom w:val="single" w:color="auto" w:sz="4" w:space="0"/>
              <w:right w:val="single" w:color="auto" w:sz="4" w:space="0"/>
            </w:tcBorders>
            <w:noWrap w:val="0"/>
            <w:vAlign w:val="center"/>
          </w:tcPr>
          <w:p w14:paraId="6E613DEB">
            <w:pPr>
              <w:spacing w:line="240" w:lineRule="auto"/>
              <w:ind w:firstLine="0" w:firstLineChars="0"/>
              <w:jc w:val="center"/>
              <w:rPr>
                <w:color w:val="auto"/>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14:paraId="6A8C77A3">
            <w:pPr>
              <w:spacing w:line="240" w:lineRule="auto"/>
              <w:ind w:firstLine="0" w:firstLineChars="0"/>
              <w:jc w:val="center"/>
              <w:rPr>
                <w:color w:val="auto"/>
                <w:highlight w:val="none"/>
              </w:rPr>
            </w:pPr>
          </w:p>
        </w:tc>
        <w:tc>
          <w:tcPr>
            <w:tcW w:w="829" w:type="dxa"/>
            <w:tcBorders>
              <w:top w:val="single" w:color="auto" w:sz="4" w:space="0"/>
              <w:left w:val="single" w:color="auto" w:sz="4" w:space="0"/>
              <w:bottom w:val="single" w:color="auto" w:sz="4" w:space="0"/>
              <w:right w:val="single" w:color="auto" w:sz="4" w:space="0"/>
            </w:tcBorders>
            <w:noWrap w:val="0"/>
            <w:vAlign w:val="center"/>
          </w:tcPr>
          <w:p w14:paraId="575AE9BC">
            <w:pPr>
              <w:spacing w:line="240" w:lineRule="auto"/>
              <w:ind w:firstLine="0" w:firstLineChars="0"/>
              <w:jc w:val="center"/>
              <w:rPr>
                <w:color w:val="auto"/>
                <w:highlight w:val="none"/>
              </w:rPr>
            </w:pPr>
          </w:p>
        </w:tc>
        <w:tc>
          <w:tcPr>
            <w:tcW w:w="920" w:type="dxa"/>
            <w:tcBorders>
              <w:top w:val="single" w:color="auto" w:sz="4" w:space="0"/>
              <w:left w:val="single" w:color="auto" w:sz="4" w:space="0"/>
              <w:bottom w:val="single" w:color="auto" w:sz="4" w:space="0"/>
              <w:right w:val="single" w:color="auto" w:sz="4" w:space="0"/>
            </w:tcBorders>
            <w:noWrap w:val="0"/>
            <w:vAlign w:val="center"/>
          </w:tcPr>
          <w:p w14:paraId="4ECB7CAA">
            <w:pPr>
              <w:spacing w:line="240" w:lineRule="auto"/>
              <w:ind w:firstLine="0" w:firstLineChars="0"/>
              <w:jc w:val="center"/>
              <w:rPr>
                <w:color w:val="auto"/>
                <w:highlight w:val="none"/>
              </w:rPr>
            </w:pPr>
          </w:p>
        </w:tc>
        <w:tc>
          <w:tcPr>
            <w:tcW w:w="1470" w:type="dxa"/>
            <w:tcBorders>
              <w:top w:val="single" w:color="auto" w:sz="4" w:space="0"/>
              <w:left w:val="single" w:color="auto" w:sz="4" w:space="0"/>
              <w:bottom w:val="single" w:color="auto" w:sz="4" w:space="0"/>
              <w:right w:val="single" w:color="auto" w:sz="8" w:space="0"/>
            </w:tcBorders>
            <w:noWrap w:val="0"/>
            <w:vAlign w:val="center"/>
          </w:tcPr>
          <w:p w14:paraId="6A81DC0B">
            <w:pPr>
              <w:spacing w:line="240" w:lineRule="auto"/>
              <w:ind w:firstLine="0" w:firstLineChars="0"/>
              <w:jc w:val="center"/>
              <w:rPr>
                <w:color w:val="auto"/>
                <w:highlight w:val="none"/>
              </w:rPr>
            </w:pPr>
          </w:p>
        </w:tc>
      </w:tr>
      <w:tr w14:paraId="2846E7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tcBorders>
              <w:top w:val="single" w:color="auto" w:sz="4" w:space="0"/>
              <w:left w:val="single" w:color="auto" w:sz="8" w:space="0"/>
              <w:bottom w:val="single" w:color="auto" w:sz="4" w:space="0"/>
              <w:right w:val="single" w:color="auto" w:sz="4" w:space="0"/>
            </w:tcBorders>
            <w:noWrap w:val="0"/>
            <w:vAlign w:val="center"/>
          </w:tcPr>
          <w:p w14:paraId="0513BA77">
            <w:pPr>
              <w:spacing w:line="240" w:lineRule="auto"/>
              <w:ind w:firstLine="0" w:firstLineChars="0"/>
              <w:jc w:val="center"/>
              <w:rPr>
                <w:color w:val="auto"/>
                <w:highlight w:val="none"/>
              </w:rPr>
            </w:pPr>
          </w:p>
        </w:tc>
        <w:tc>
          <w:tcPr>
            <w:tcW w:w="1112" w:type="dxa"/>
            <w:tcBorders>
              <w:top w:val="single" w:color="auto" w:sz="4" w:space="0"/>
              <w:left w:val="single" w:color="auto" w:sz="4" w:space="0"/>
              <w:bottom w:val="single" w:color="auto" w:sz="4" w:space="0"/>
              <w:right w:val="single" w:color="auto" w:sz="4" w:space="0"/>
            </w:tcBorders>
            <w:noWrap w:val="0"/>
            <w:vAlign w:val="center"/>
          </w:tcPr>
          <w:p w14:paraId="0082958A">
            <w:pPr>
              <w:spacing w:line="240" w:lineRule="auto"/>
              <w:ind w:firstLine="0" w:firstLineChars="0"/>
              <w:jc w:val="center"/>
              <w:rPr>
                <w:color w:val="auto"/>
                <w:highlight w:val="none"/>
              </w:rPr>
            </w:pPr>
          </w:p>
        </w:tc>
        <w:tc>
          <w:tcPr>
            <w:tcW w:w="708" w:type="dxa"/>
            <w:tcBorders>
              <w:top w:val="single" w:color="auto" w:sz="4" w:space="0"/>
              <w:left w:val="single" w:color="auto" w:sz="4" w:space="0"/>
              <w:bottom w:val="single" w:color="auto" w:sz="4" w:space="0"/>
              <w:right w:val="single" w:color="auto" w:sz="4" w:space="0"/>
            </w:tcBorders>
            <w:noWrap w:val="0"/>
            <w:vAlign w:val="center"/>
          </w:tcPr>
          <w:p w14:paraId="52D6E448">
            <w:pPr>
              <w:spacing w:line="240" w:lineRule="auto"/>
              <w:ind w:firstLine="0" w:firstLineChars="0"/>
              <w:jc w:val="center"/>
              <w:rPr>
                <w:color w:val="auto"/>
                <w:highlight w:val="none"/>
              </w:rPr>
            </w:pPr>
          </w:p>
        </w:tc>
        <w:tc>
          <w:tcPr>
            <w:tcW w:w="905" w:type="dxa"/>
            <w:tcBorders>
              <w:top w:val="single" w:color="auto" w:sz="4" w:space="0"/>
              <w:left w:val="single" w:color="auto" w:sz="4" w:space="0"/>
              <w:bottom w:val="single" w:color="auto" w:sz="4" w:space="0"/>
              <w:right w:val="single" w:color="auto" w:sz="4" w:space="0"/>
            </w:tcBorders>
            <w:noWrap w:val="0"/>
            <w:vAlign w:val="center"/>
          </w:tcPr>
          <w:p w14:paraId="135E36FA">
            <w:pPr>
              <w:spacing w:line="240" w:lineRule="auto"/>
              <w:ind w:firstLine="0" w:firstLineChars="0"/>
              <w:jc w:val="center"/>
              <w:rPr>
                <w:color w:val="auto"/>
                <w:highlight w:val="none"/>
              </w:rPr>
            </w:pPr>
          </w:p>
        </w:tc>
        <w:tc>
          <w:tcPr>
            <w:tcW w:w="746" w:type="dxa"/>
            <w:tcBorders>
              <w:top w:val="single" w:color="auto" w:sz="4" w:space="0"/>
              <w:left w:val="single" w:color="auto" w:sz="4" w:space="0"/>
              <w:bottom w:val="single" w:color="auto" w:sz="4" w:space="0"/>
              <w:right w:val="single" w:color="auto" w:sz="4" w:space="0"/>
            </w:tcBorders>
            <w:noWrap w:val="0"/>
            <w:vAlign w:val="center"/>
          </w:tcPr>
          <w:p w14:paraId="07C9FC02">
            <w:pPr>
              <w:spacing w:line="240" w:lineRule="auto"/>
              <w:ind w:firstLine="0" w:firstLineChars="0"/>
              <w:jc w:val="center"/>
              <w:rPr>
                <w:color w:val="auto"/>
                <w:highlight w:val="none"/>
              </w:rPr>
            </w:pPr>
          </w:p>
        </w:tc>
        <w:tc>
          <w:tcPr>
            <w:tcW w:w="1270" w:type="dxa"/>
            <w:tcBorders>
              <w:top w:val="single" w:color="auto" w:sz="4" w:space="0"/>
              <w:left w:val="single" w:color="auto" w:sz="4" w:space="0"/>
              <w:bottom w:val="single" w:color="auto" w:sz="4" w:space="0"/>
              <w:right w:val="single" w:color="auto" w:sz="4" w:space="0"/>
            </w:tcBorders>
            <w:noWrap w:val="0"/>
            <w:vAlign w:val="center"/>
          </w:tcPr>
          <w:p w14:paraId="57D90B33">
            <w:pPr>
              <w:spacing w:line="240" w:lineRule="auto"/>
              <w:ind w:firstLine="0" w:firstLineChars="0"/>
              <w:jc w:val="center"/>
              <w:rPr>
                <w:color w:val="auto"/>
                <w:highlight w:val="none"/>
              </w:rPr>
            </w:pPr>
          </w:p>
        </w:tc>
        <w:tc>
          <w:tcPr>
            <w:tcW w:w="829" w:type="dxa"/>
            <w:tcBorders>
              <w:top w:val="single" w:color="auto" w:sz="4" w:space="0"/>
              <w:left w:val="single" w:color="auto" w:sz="4" w:space="0"/>
              <w:bottom w:val="single" w:color="auto" w:sz="4" w:space="0"/>
              <w:right w:val="single" w:color="auto" w:sz="4" w:space="0"/>
            </w:tcBorders>
            <w:noWrap w:val="0"/>
            <w:vAlign w:val="center"/>
          </w:tcPr>
          <w:p w14:paraId="11089CD4">
            <w:pPr>
              <w:spacing w:line="240" w:lineRule="auto"/>
              <w:ind w:firstLine="0" w:firstLineChars="0"/>
              <w:jc w:val="center"/>
              <w:rPr>
                <w:color w:val="auto"/>
                <w:highlight w:val="none"/>
              </w:rPr>
            </w:pPr>
          </w:p>
        </w:tc>
        <w:tc>
          <w:tcPr>
            <w:tcW w:w="920" w:type="dxa"/>
            <w:tcBorders>
              <w:top w:val="single" w:color="auto" w:sz="4" w:space="0"/>
              <w:left w:val="single" w:color="auto" w:sz="4" w:space="0"/>
              <w:bottom w:val="single" w:color="auto" w:sz="4" w:space="0"/>
              <w:right w:val="single" w:color="auto" w:sz="4" w:space="0"/>
            </w:tcBorders>
            <w:noWrap w:val="0"/>
            <w:vAlign w:val="center"/>
          </w:tcPr>
          <w:p w14:paraId="5729E4D2">
            <w:pPr>
              <w:spacing w:line="240" w:lineRule="auto"/>
              <w:ind w:firstLine="0" w:firstLineChars="0"/>
              <w:jc w:val="center"/>
              <w:rPr>
                <w:color w:val="auto"/>
                <w:highlight w:val="none"/>
              </w:rPr>
            </w:pPr>
          </w:p>
        </w:tc>
        <w:tc>
          <w:tcPr>
            <w:tcW w:w="1470" w:type="dxa"/>
            <w:tcBorders>
              <w:top w:val="single" w:color="auto" w:sz="4" w:space="0"/>
              <w:left w:val="single" w:color="auto" w:sz="4" w:space="0"/>
              <w:bottom w:val="single" w:color="auto" w:sz="4" w:space="0"/>
              <w:right w:val="single" w:color="auto" w:sz="8" w:space="0"/>
            </w:tcBorders>
            <w:noWrap w:val="0"/>
            <w:vAlign w:val="center"/>
          </w:tcPr>
          <w:p w14:paraId="487900A1">
            <w:pPr>
              <w:spacing w:line="240" w:lineRule="auto"/>
              <w:ind w:firstLine="0" w:firstLineChars="0"/>
              <w:jc w:val="center"/>
              <w:rPr>
                <w:color w:val="auto"/>
                <w:highlight w:val="none"/>
              </w:rPr>
            </w:pPr>
          </w:p>
        </w:tc>
      </w:tr>
      <w:tr w14:paraId="3951B2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16" w:type="dxa"/>
            <w:tcBorders>
              <w:top w:val="single" w:color="auto" w:sz="4" w:space="0"/>
              <w:left w:val="single" w:color="auto" w:sz="8" w:space="0"/>
              <w:bottom w:val="single" w:color="auto" w:sz="8" w:space="0"/>
              <w:right w:val="single" w:color="auto" w:sz="4" w:space="0"/>
            </w:tcBorders>
            <w:noWrap w:val="0"/>
            <w:vAlign w:val="center"/>
          </w:tcPr>
          <w:p w14:paraId="17CDA527">
            <w:pPr>
              <w:spacing w:line="240" w:lineRule="auto"/>
              <w:ind w:firstLine="0" w:firstLineChars="0"/>
              <w:jc w:val="center"/>
              <w:rPr>
                <w:color w:val="auto"/>
                <w:highlight w:val="none"/>
              </w:rPr>
            </w:pPr>
          </w:p>
        </w:tc>
        <w:tc>
          <w:tcPr>
            <w:tcW w:w="1112" w:type="dxa"/>
            <w:tcBorders>
              <w:top w:val="single" w:color="auto" w:sz="4" w:space="0"/>
              <w:left w:val="single" w:color="auto" w:sz="4" w:space="0"/>
              <w:bottom w:val="single" w:color="auto" w:sz="8" w:space="0"/>
              <w:right w:val="single" w:color="auto" w:sz="4" w:space="0"/>
            </w:tcBorders>
            <w:noWrap w:val="0"/>
            <w:vAlign w:val="center"/>
          </w:tcPr>
          <w:p w14:paraId="32834CF6">
            <w:pPr>
              <w:spacing w:line="240" w:lineRule="auto"/>
              <w:ind w:firstLine="0" w:firstLineChars="0"/>
              <w:jc w:val="center"/>
              <w:rPr>
                <w:color w:val="auto"/>
                <w:highlight w:val="none"/>
              </w:rPr>
            </w:pPr>
          </w:p>
        </w:tc>
        <w:tc>
          <w:tcPr>
            <w:tcW w:w="708" w:type="dxa"/>
            <w:tcBorders>
              <w:top w:val="single" w:color="auto" w:sz="4" w:space="0"/>
              <w:left w:val="single" w:color="auto" w:sz="4" w:space="0"/>
              <w:bottom w:val="single" w:color="auto" w:sz="8" w:space="0"/>
              <w:right w:val="single" w:color="auto" w:sz="4" w:space="0"/>
            </w:tcBorders>
            <w:noWrap w:val="0"/>
            <w:vAlign w:val="center"/>
          </w:tcPr>
          <w:p w14:paraId="3E8029FA">
            <w:pPr>
              <w:spacing w:line="240" w:lineRule="auto"/>
              <w:ind w:firstLine="0" w:firstLineChars="0"/>
              <w:jc w:val="center"/>
              <w:rPr>
                <w:color w:val="auto"/>
                <w:highlight w:val="none"/>
              </w:rPr>
            </w:pPr>
          </w:p>
        </w:tc>
        <w:tc>
          <w:tcPr>
            <w:tcW w:w="905" w:type="dxa"/>
            <w:tcBorders>
              <w:top w:val="single" w:color="auto" w:sz="4" w:space="0"/>
              <w:left w:val="single" w:color="auto" w:sz="4" w:space="0"/>
              <w:bottom w:val="single" w:color="auto" w:sz="8" w:space="0"/>
              <w:right w:val="single" w:color="auto" w:sz="4" w:space="0"/>
            </w:tcBorders>
            <w:noWrap w:val="0"/>
            <w:vAlign w:val="center"/>
          </w:tcPr>
          <w:p w14:paraId="3314874F">
            <w:pPr>
              <w:spacing w:line="240" w:lineRule="auto"/>
              <w:ind w:firstLine="0" w:firstLineChars="0"/>
              <w:jc w:val="center"/>
              <w:rPr>
                <w:color w:val="auto"/>
                <w:highlight w:val="none"/>
              </w:rPr>
            </w:pPr>
          </w:p>
        </w:tc>
        <w:tc>
          <w:tcPr>
            <w:tcW w:w="746" w:type="dxa"/>
            <w:tcBorders>
              <w:top w:val="single" w:color="auto" w:sz="4" w:space="0"/>
              <w:left w:val="single" w:color="auto" w:sz="4" w:space="0"/>
              <w:bottom w:val="single" w:color="auto" w:sz="8" w:space="0"/>
              <w:right w:val="single" w:color="auto" w:sz="4" w:space="0"/>
            </w:tcBorders>
            <w:noWrap w:val="0"/>
            <w:vAlign w:val="center"/>
          </w:tcPr>
          <w:p w14:paraId="35413EBD">
            <w:pPr>
              <w:spacing w:line="240" w:lineRule="auto"/>
              <w:ind w:firstLine="0" w:firstLineChars="0"/>
              <w:jc w:val="center"/>
              <w:rPr>
                <w:color w:val="auto"/>
                <w:highlight w:val="none"/>
              </w:rPr>
            </w:pPr>
          </w:p>
        </w:tc>
        <w:tc>
          <w:tcPr>
            <w:tcW w:w="1270" w:type="dxa"/>
            <w:tcBorders>
              <w:top w:val="single" w:color="auto" w:sz="4" w:space="0"/>
              <w:left w:val="single" w:color="auto" w:sz="4" w:space="0"/>
              <w:bottom w:val="single" w:color="auto" w:sz="8" w:space="0"/>
              <w:right w:val="single" w:color="auto" w:sz="4" w:space="0"/>
            </w:tcBorders>
            <w:noWrap w:val="0"/>
            <w:vAlign w:val="center"/>
          </w:tcPr>
          <w:p w14:paraId="29756CD5">
            <w:pPr>
              <w:spacing w:line="240" w:lineRule="auto"/>
              <w:ind w:firstLine="0" w:firstLineChars="0"/>
              <w:jc w:val="center"/>
              <w:rPr>
                <w:color w:val="auto"/>
                <w:highlight w:val="none"/>
              </w:rPr>
            </w:pPr>
          </w:p>
        </w:tc>
        <w:tc>
          <w:tcPr>
            <w:tcW w:w="829" w:type="dxa"/>
            <w:tcBorders>
              <w:top w:val="single" w:color="auto" w:sz="4" w:space="0"/>
              <w:left w:val="single" w:color="auto" w:sz="4" w:space="0"/>
              <w:bottom w:val="single" w:color="auto" w:sz="8" w:space="0"/>
              <w:right w:val="single" w:color="auto" w:sz="4" w:space="0"/>
            </w:tcBorders>
            <w:noWrap w:val="0"/>
            <w:vAlign w:val="center"/>
          </w:tcPr>
          <w:p w14:paraId="1EDFC180">
            <w:pPr>
              <w:spacing w:line="240" w:lineRule="auto"/>
              <w:ind w:firstLine="0" w:firstLineChars="0"/>
              <w:jc w:val="center"/>
              <w:rPr>
                <w:color w:val="auto"/>
                <w:highlight w:val="none"/>
              </w:rPr>
            </w:pPr>
          </w:p>
        </w:tc>
        <w:tc>
          <w:tcPr>
            <w:tcW w:w="920" w:type="dxa"/>
            <w:tcBorders>
              <w:top w:val="single" w:color="auto" w:sz="4" w:space="0"/>
              <w:left w:val="single" w:color="auto" w:sz="4" w:space="0"/>
              <w:bottom w:val="single" w:color="auto" w:sz="8" w:space="0"/>
              <w:right w:val="single" w:color="auto" w:sz="4" w:space="0"/>
            </w:tcBorders>
            <w:noWrap w:val="0"/>
            <w:vAlign w:val="center"/>
          </w:tcPr>
          <w:p w14:paraId="497BA5CD">
            <w:pPr>
              <w:spacing w:line="240" w:lineRule="auto"/>
              <w:ind w:firstLine="0" w:firstLineChars="0"/>
              <w:jc w:val="center"/>
              <w:rPr>
                <w:color w:val="auto"/>
                <w:highlight w:val="none"/>
              </w:rPr>
            </w:pPr>
          </w:p>
        </w:tc>
        <w:tc>
          <w:tcPr>
            <w:tcW w:w="1470" w:type="dxa"/>
            <w:tcBorders>
              <w:top w:val="single" w:color="auto" w:sz="4" w:space="0"/>
              <w:left w:val="single" w:color="auto" w:sz="4" w:space="0"/>
              <w:bottom w:val="single" w:color="auto" w:sz="8" w:space="0"/>
              <w:right w:val="single" w:color="auto" w:sz="8" w:space="0"/>
            </w:tcBorders>
            <w:noWrap w:val="0"/>
            <w:vAlign w:val="center"/>
          </w:tcPr>
          <w:p w14:paraId="798EB803">
            <w:pPr>
              <w:spacing w:line="240" w:lineRule="auto"/>
              <w:ind w:firstLine="0" w:firstLineChars="0"/>
              <w:jc w:val="center"/>
              <w:rPr>
                <w:color w:val="auto"/>
                <w:highlight w:val="none"/>
              </w:rPr>
            </w:pPr>
          </w:p>
        </w:tc>
      </w:tr>
    </w:tbl>
    <w:p w14:paraId="391DB7FB">
      <w:pPr>
        <w:bidi w:val="0"/>
        <w:rPr>
          <w:rFonts w:hint="eastAsia"/>
          <w:color w:val="auto"/>
          <w:highlight w:val="none"/>
        </w:rPr>
      </w:pPr>
    </w:p>
    <w:p w14:paraId="72B5C9CD">
      <w:pPr>
        <w:tabs>
          <w:tab w:val="left" w:pos="385"/>
        </w:tabs>
        <w:bidi w:val="0"/>
        <w:ind w:left="0" w:leftChars="0" w:firstLine="0" w:firstLineChars="0"/>
        <w:jc w:val="left"/>
        <w:rPr>
          <w:rFonts w:hint="eastAsia"/>
          <w:color w:val="auto"/>
          <w:highlight w:val="none"/>
          <w:lang w:val="en-US" w:eastAsia="zh-CN"/>
        </w:rPr>
      </w:pPr>
    </w:p>
    <w:p w14:paraId="37EF3857">
      <w:pPr>
        <w:bidi w:val="0"/>
        <w:rPr>
          <w:rFonts w:hint="eastAsia" w:ascii="宋体" w:hAnsi="Times New Roman" w:eastAsia="宋体" w:cs="Times New Roman"/>
          <w:color w:val="auto"/>
          <w:kern w:val="21"/>
          <w:sz w:val="21"/>
          <w:szCs w:val="22"/>
          <w:highlight w:val="none"/>
          <w:lang w:val="en-US" w:eastAsia="zh-CN" w:bidi="ar-SA"/>
        </w:rPr>
      </w:pPr>
    </w:p>
    <w:p w14:paraId="74F416E2">
      <w:pPr>
        <w:bidi w:val="0"/>
        <w:rPr>
          <w:rFonts w:hint="eastAsia"/>
          <w:color w:val="auto"/>
          <w:highlight w:val="none"/>
          <w:lang w:val="en-US" w:eastAsia="zh-CN"/>
        </w:rPr>
      </w:pPr>
    </w:p>
    <w:p w14:paraId="36347DE1">
      <w:pPr>
        <w:bidi w:val="0"/>
        <w:rPr>
          <w:rFonts w:hint="eastAsia"/>
          <w:color w:val="auto"/>
          <w:highlight w:val="none"/>
          <w:lang w:val="en-US" w:eastAsia="zh-CN"/>
        </w:rPr>
      </w:pPr>
    </w:p>
    <w:p w14:paraId="3D113559">
      <w:pPr>
        <w:bidi w:val="0"/>
        <w:rPr>
          <w:rFonts w:hint="eastAsia"/>
          <w:color w:val="auto"/>
          <w:highlight w:val="none"/>
          <w:lang w:val="en-US" w:eastAsia="zh-CN"/>
        </w:rPr>
      </w:pPr>
    </w:p>
    <w:p w14:paraId="0D168A48">
      <w:pPr>
        <w:bidi w:val="0"/>
        <w:rPr>
          <w:rFonts w:hint="eastAsia"/>
          <w:color w:val="auto"/>
          <w:highlight w:val="none"/>
          <w:lang w:val="en-US" w:eastAsia="zh-CN"/>
        </w:rPr>
      </w:pPr>
    </w:p>
    <w:p w14:paraId="76CF62D6">
      <w:pPr>
        <w:bidi w:val="0"/>
        <w:rPr>
          <w:rFonts w:hint="eastAsia"/>
          <w:color w:val="auto"/>
          <w:highlight w:val="none"/>
          <w:lang w:val="en-US" w:eastAsia="zh-CN"/>
        </w:rPr>
      </w:pPr>
    </w:p>
    <w:p w14:paraId="7C8126CA">
      <w:pPr>
        <w:bidi w:val="0"/>
        <w:rPr>
          <w:rFonts w:hint="eastAsia"/>
          <w:color w:val="auto"/>
          <w:highlight w:val="none"/>
          <w:lang w:val="en-US" w:eastAsia="zh-CN"/>
        </w:rPr>
      </w:pPr>
    </w:p>
    <w:p w14:paraId="05DF824B">
      <w:pPr>
        <w:bidi w:val="0"/>
        <w:rPr>
          <w:rFonts w:hint="eastAsia"/>
          <w:color w:val="auto"/>
          <w:highlight w:val="none"/>
          <w:lang w:val="en-US" w:eastAsia="zh-CN"/>
        </w:rPr>
      </w:pPr>
    </w:p>
    <w:p w14:paraId="6D82AC29">
      <w:pPr>
        <w:bidi w:val="0"/>
        <w:rPr>
          <w:rFonts w:hint="eastAsia"/>
          <w:color w:val="auto"/>
          <w:highlight w:val="none"/>
          <w:lang w:val="en-US" w:eastAsia="zh-CN"/>
        </w:rPr>
      </w:pPr>
    </w:p>
    <w:p w14:paraId="72DA1479">
      <w:pPr>
        <w:bidi w:val="0"/>
        <w:rPr>
          <w:rFonts w:hint="eastAsia"/>
          <w:color w:val="auto"/>
          <w:highlight w:val="none"/>
          <w:lang w:val="en-US" w:eastAsia="zh-CN"/>
        </w:rPr>
      </w:pPr>
    </w:p>
    <w:p w14:paraId="53AA6362">
      <w:pPr>
        <w:bidi w:val="0"/>
        <w:rPr>
          <w:rFonts w:hint="eastAsia"/>
          <w:color w:val="auto"/>
          <w:highlight w:val="none"/>
          <w:lang w:val="en-US" w:eastAsia="zh-CN"/>
        </w:rPr>
      </w:pPr>
    </w:p>
    <w:p w14:paraId="03CC5CCC">
      <w:pPr>
        <w:tabs>
          <w:tab w:val="left" w:pos="479"/>
        </w:tabs>
        <w:bidi w:val="0"/>
        <w:jc w:val="left"/>
        <w:rPr>
          <w:rFonts w:hint="eastAsia"/>
          <w:color w:val="auto"/>
          <w:highlight w:val="none"/>
          <w:lang w:val="en-US" w:eastAsia="zh-CN"/>
        </w:rPr>
      </w:pPr>
      <w:r>
        <w:rPr>
          <w:rFonts w:hint="eastAsia"/>
          <w:color w:val="auto"/>
          <w:highlight w:val="none"/>
          <w:lang w:val="en-US" w:eastAsia="zh-CN"/>
        </w:rPr>
        <w:tab/>
      </w:r>
    </w:p>
    <w:p w14:paraId="3A0BEFAA">
      <w:pPr>
        <w:pStyle w:val="8"/>
        <w:keepNext w:val="0"/>
        <w:keepLines w:val="0"/>
        <w:pageBreakBefore w:val="0"/>
        <w:widowControl w:val="0"/>
        <w:shd w:val="clear" w:color="auto" w:fill="auto"/>
        <w:kinsoku/>
        <w:wordWrap/>
        <w:overflowPunct/>
        <w:topLinePunct w:val="0"/>
        <w:autoSpaceDE/>
        <w:autoSpaceDN/>
        <w:bidi w:val="0"/>
        <w:adjustRightInd/>
        <w:snapToGrid/>
        <w:spacing w:line="360" w:lineRule="auto"/>
        <w:jc w:val="center"/>
        <w:textAlignment w:val="auto"/>
        <w:outlineLvl w:val="1"/>
        <w:rPr>
          <w:rFonts w:hint="eastAsia" w:ascii="宋体" w:hAnsi="宋体" w:eastAsia="宋体" w:cs="宋体"/>
          <w:b/>
          <w:bCs/>
          <w:color w:val="auto"/>
          <w:sz w:val="32"/>
          <w:szCs w:val="32"/>
          <w:highlight w:val="none"/>
        </w:rPr>
      </w:pPr>
      <w:bookmarkStart w:id="143" w:name="_Toc326764091"/>
      <w:bookmarkStart w:id="144" w:name="_Toc4989"/>
      <w:bookmarkStart w:id="145" w:name="_Toc15454"/>
      <w:r>
        <w:rPr>
          <w:rFonts w:hint="eastAsia" w:ascii="宋体" w:hAnsi="宋体" w:eastAsia="宋体" w:cs="宋体"/>
          <w:b/>
          <w:bCs/>
          <w:color w:val="auto"/>
          <w:sz w:val="32"/>
          <w:szCs w:val="32"/>
          <w:highlight w:val="none"/>
          <w:lang w:val="en-US" w:eastAsia="zh-CN"/>
        </w:rPr>
        <w:t>七</w:t>
      </w:r>
      <w:r>
        <w:rPr>
          <w:rFonts w:hint="eastAsia" w:ascii="宋体" w:hAnsi="宋体" w:eastAsia="宋体" w:cs="宋体"/>
          <w:b/>
          <w:bCs/>
          <w:color w:val="auto"/>
          <w:sz w:val="32"/>
          <w:szCs w:val="32"/>
          <w:highlight w:val="none"/>
        </w:rPr>
        <w:t>、资格审查资料</w:t>
      </w:r>
      <w:bookmarkEnd w:id="143"/>
      <w:bookmarkEnd w:id="144"/>
      <w:bookmarkEnd w:id="145"/>
    </w:p>
    <w:p w14:paraId="42C518A6">
      <w:pPr>
        <w:pStyle w:val="8"/>
        <w:keepNext w:val="0"/>
        <w:keepLines w:val="0"/>
        <w:pageBreakBefore w:val="0"/>
        <w:widowControl w:val="0"/>
        <w:shd w:val="clear" w:color="auto" w:fill="auto"/>
        <w:kinsoku/>
        <w:wordWrap/>
        <w:overflowPunct/>
        <w:topLinePunct w:val="0"/>
        <w:autoSpaceDE/>
        <w:autoSpaceDN/>
        <w:bidi w:val="0"/>
        <w:adjustRightInd/>
        <w:snapToGrid/>
        <w:spacing w:line="360" w:lineRule="auto"/>
        <w:jc w:val="center"/>
        <w:textAlignment w:val="auto"/>
        <w:rPr>
          <w:rFonts w:hint="eastAsia" w:ascii="宋体" w:hAnsi="宋体" w:eastAsia="宋体" w:cs="宋体"/>
          <w:b/>
          <w:color w:val="auto"/>
          <w:sz w:val="30"/>
          <w:szCs w:val="30"/>
          <w:highlight w:val="none"/>
        </w:rPr>
      </w:pPr>
      <w:r>
        <w:rPr>
          <w:rFonts w:hint="eastAsia" w:ascii="宋体" w:hAnsi="宋体" w:eastAsia="宋体" w:cs="宋体"/>
          <w:b/>
          <w:color w:val="auto"/>
          <w:sz w:val="30"/>
          <w:szCs w:val="30"/>
          <w:highlight w:val="none"/>
        </w:rPr>
        <w:t>（一）基本情况表</w:t>
      </w:r>
    </w:p>
    <w:p w14:paraId="2C2DFD3A">
      <w:pPr>
        <w:pStyle w:val="8"/>
        <w:spacing w:line="360" w:lineRule="auto"/>
        <w:ind w:firstLine="600"/>
        <w:rPr>
          <w:rFonts w:hint="eastAsia" w:ascii="宋体" w:hAnsi="宋体" w:eastAsia="宋体" w:cs="宋体"/>
          <w:b/>
          <w:color w:val="auto"/>
          <w:highlight w:val="none"/>
        </w:rPr>
      </w:pPr>
    </w:p>
    <w:tbl>
      <w:tblPr>
        <w:tblStyle w:val="16"/>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8"/>
        <w:gridCol w:w="954"/>
        <w:gridCol w:w="895"/>
        <w:gridCol w:w="840"/>
        <w:gridCol w:w="420"/>
        <w:gridCol w:w="311"/>
        <w:gridCol w:w="1568"/>
        <w:gridCol w:w="860"/>
        <w:gridCol w:w="992"/>
      </w:tblGrid>
      <w:tr w14:paraId="7271AD4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6541C1EC">
            <w:pPr>
              <w:topLinePunct/>
              <w:spacing w:line="440" w:lineRule="exact"/>
              <w:ind w:left="0" w:leftChars="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投标人名称</w:t>
            </w:r>
          </w:p>
        </w:tc>
        <w:tc>
          <w:tcPr>
            <w:tcW w:w="6840" w:type="dxa"/>
            <w:gridSpan w:val="8"/>
            <w:tcBorders>
              <w:top w:val="single" w:color="auto" w:sz="4" w:space="0"/>
              <w:left w:val="single" w:color="auto" w:sz="4" w:space="0"/>
              <w:bottom w:val="single" w:color="auto" w:sz="4" w:space="0"/>
              <w:right w:val="single" w:color="auto" w:sz="4" w:space="0"/>
            </w:tcBorders>
            <w:noWrap w:val="0"/>
            <w:vAlign w:val="center"/>
          </w:tcPr>
          <w:p w14:paraId="2DA81FCA">
            <w:pPr>
              <w:topLinePunct/>
              <w:spacing w:line="440" w:lineRule="exact"/>
              <w:jc w:val="center"/>
              <w:rPr>
                <w:rFonts w:hint="eastAsia" w:ascii="宋体" w:hAnsi="宋体" w:eastAsia="宋体" w:cs="宋体"/>
                <w:color w:val="auto"/>
                <w:sz w:val="24"/>
                <w:szCs w:val="24"/>
                <w:highlight w:val="none"/>
              </w:rPr>
            </w:pPr>
          </w:p>
        </w:tc>
      </w:tr>
      <w:tr w14:paraId="275161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28E04D18">
            <w:pPr>
              <w:topLinePunct/>
              <w:spacing w:line="440" w:lineRule="exact"/>
              <w:ind w:left="0" w:leftChars="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注册地址</w:t>
            </w:r>
          </w:p>
        </w:tc>
        <w:tc>
          <w:tcPr>
            <w:tcW w:w="3420" w:type="dxa"/>
            <w:gridSpan w:val="5"/>
            <w:tcBorders>
              <w:top w:val="single" w:color="auto" w:sz="4" w:space="0"/>
              <w:left w:val="single" w:color="auto" w:sz="4" w:space="0"/>
              <w:bottom w:val="single" w:color="auto" w:sz="4" w:space="0"/>
              <w:right w:val="single" w:color="auto" w:sz="4" w:space="0"/>
            </w:tcBorders>
            <w:noWrap w:val="0"/>
            <w:vAlign w:val="center"/>
          </w:tcPr>
          <w:p w14:paraId="571D832E">
            <w:pPr>
              <w:topLinePunct/>
              <w:spacing w:line="440" w:lineRule="exact"/>
              <w:jc w:val="center"/>
              <w:rPr>
                <w:rFonts w:hint="eastAsia" w:ascii="宋体" w:hAnsi="宋体" w:eastAsia="宋体" w:cs="宋体"/>
                <w:color w:val="auto"/>
                <w:sz w:val="24"/>
                <w:szCs w:val="24"/>
                <w:highlight w:val="none"/>
              </w:rPr>
            </w:pPr>
          </w:p>
        </w:tc>
        <w:tc>
          <w:tcPr>
            <w:tcW w:w="1568" w:type="dxa"/>
            <w:tcBorders>
              <w:top w:val="single" w:color="auto" w:sz="4" w:space="0"/>
              <w:left w:val="single" w:color="auto" w:sz="4" w:space="0"/>
              <w:bottom w:val="single" w:color="auto" w:sz="4" w:space="0"/>
              <w:right w:val="single" w:color="auto" w:sz="4" w:space="0"/>
            </w:tcBorders>
            <w:noWrap w:val="0"/>
            <w:vAlign w:val="center"/>
          </w:tcPr>
          <w:p w14:paraId="5646BA63">
            <w:pPr>
              <w:topLinePunct/>
              <w:spacing w:line="440" w:lineRule="exact"/>
              <w:ind w:left="0" w:leftChars="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邮政编码</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57874247">
            <w:pPr>
              <w:topLinePunct/>
              <w:spacing w:line="440" w:lineRule="exact"/>
              <w:jc w:val="center"/>
              <w:rPr>
                <w:rFonts w:hint="eastAsia" w:ascii="宋体" w:hAnsi="宋体" w:eastAsia="宋体" w:cs="宋体"/>
                <w:color w:val="auto"/>
                <w:sz w:val="24"/>
                <w:szCs w:val="24"/>
                <w:highlight w:val="none"/>
              </w:rPr>
            </w:pPr>
          </w:p>
        </w:tc>
      </w:tr>
      <w:tr w14:paraId="67F9F1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jc w:val="center"/>
        </w:trPr>
        <w:tc>
          <w:tcPr>
            <w:tcW w:w="1728" w:type="dxa"/>
            <w:vMerge w:val="restart"/>
            <w:tcBorders>
              <w:top w:val="single" w:color="auto" w:sz="4" w:space="0"/>
              <w:left w:val="single" w:color="auto" w:sz="4" w:space="0"/>
              <w:bottom w:val="single" w:color="auto" w:sz="4" w:space="0"/>
              <w:right w:val="single" w:color="auto" w:sz="4" w:space="0"/>
            </w:tcBorders>
            <w:noWrap w:val="0"/>
            <w:vAlign w:val="center"/>
          </w:tcPr>
          <w:p w14:paraId="530F7A93">
            <w:pPr>
              <w:topLinePunct/>
              <w:spacing w:line="440" w:lineRule="exact"/>
              <w:ind w:left="0" w:leftChars="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联系方式</w:t>
            </w:r>
          </w:p>
        </w:tc>
        <w:tc>
          <w:tcPr>
            <w:tcW w:w="954" w:type="dxa"/>
            <w:tcBorders>
              <w:top w:val="single" w:color="auto" w:sz="4" w:space="0"/>
              <w:left w:val="single" w:color="auto" w:sz="4" w:space="0"/>
              <w:bottom w:val="single" w:color="auto" w:sz="4" w:space="0"/>
              <w:right w:val="single" w:color="auto" w:sz="4" w:space="0"/>
            </w:tcBorders>
            <w:noWrap w:val="0"/>
            <w:vAlign w:val="center"/>
          </w:tcPr>
          <w:p w14:paraId="10E92B6E">
            <w:pPr>
              <w:topLinePunct/>
              <w:spacing w:line="440" w:lineRule="exact"/>
              <w:ind w:left="0" w:leftChars="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w:t>
            </w:r>
          </w:p>
        </w:tc>
        <w:tc>
          <w:tcPr>
            <w:tcW w:w="2466" w:type="dxa"/>
            <w:gridSpan w:val="4"/>
            <w:tcBorders>
              <w:top w:val="single" w:color="auto" w:sz="4" w:space="0"/>
              <w:left w:val="single" w:color="auto" w:sz="4" w:space="0"/>
              <w:bottom w:val="single" w:color="auto" w:sz="4" w:space="0"/>
              <w:right w:val="single" w:color="auto" w:sz="4" w:space="0"/>
            </w:tcBorders>
            <w:noWrap w:val="0"/>
            <w:vAlign w:val="center"/>
          </w:tcPr>
          <w:p w14:paraId="2AAB5A6C">
            <w:pPr>
              <w:topLinePunct/>
              <w:spacing w:line="440" w:lineRule="exact"/>
              <w:jc w:val="center"/>
              <w:rPr>
                <w:rFonts w:hint="eastAsia" w:ascii="宋体" w:hAnsi="宋体" w:eastAsia="宋体" w:cs="宋体"/>
                <w:color w:val="auto"/>
                <w:sz w:val="24"/>
                <w:szCs w:val="24"/>
                <w:highlight w:val="none"/>
              </w:rPr>
            </w:pPr>
          </w:p>
        </w:tc>
        <w:tc>
          <w:tcPr>
            <w:tcW w:w="1568" w:type="dxa"/>
            <w:tcBorders>
              <w:top w:val="single" w:color="auto" w:sz="4" w:space="0"/>
              <w:left w:val="single" w:color="auto" w:sz="4" w:space="0"/>
              <w:bottom w:val="single" w:color="auto" w:sz="4" w:space="0"/>
              <w:right w:val="single" w:color="auto" w:sz="4" w:space="0"/>
            </w:tcBorders>
            <w:noWrap w:val="0"/>
            <w:vAlign w:val="center"/>
          </w:tcPr>
          <w:p w14:paraId="1EEC192B">
            <w:pPr>
              <w:topLinePunct/>
              <w:spacing w:line="440" w:lineRule="exact"/>
              <w:ind w:left="0" w:leftChars="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 话</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29C3B514">
            <w:pPr>
              <w:topLinePunct/>
              <w:spacing w:line="440" w:lineRule="exact"/>
              <w:jc w:val="center"/>
              <w:rPr>
                <w:rFonts w:hint="eastAsia" w:ascii="宋体" w:hAnsi="宋体" w:eastAsia="宋体" w:cs="宋体"/>
                <w:color w:val="auto"/>
                <w:sz w:val="24"/>
                <w:szCs w:val="24"/>
                <w:highlight w:val="none"/>
              </w:rPr>
            </w:pPr>
          </w:p>
        </w:tc>
      </w:tr>
      <w:tr w14:paraId="3C0779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jc w:val="center"/>
        </w:trPr>
        <w:tc>
          <w:tcPr>
            <w:tcW w:w="1728" w:type="dxa"/>
            <w:vMerge w:val="continue"/>
            <w:tcBorders>
              <w:top w:val="single" w:color="auto" w:sz="4" w:space="0"/>
              <w:left w:val="single" w:color="auto" w:sz="4" w:space="0"/>
              <w:bottom w:val="single" w:color="auto" w:sz="4" w:space="0"/>
              <w:right w:val="single" w:color="auto" w:sz="4" w:space="0"/>
            </w:tcBorders>
            <w:noWrap w:val="0"/>
            <w:vAlign w:val="center"/>
          </w:tcPr>
          <w:p w14:paraId="3BB3261A">
            <w:pPr>
              <w:topLinePunct/>
              <w:spacing w:line="440" w:lineRule="exact"/>
              <w:jc w:val="center"/>
              <w:rPr>
                <w:rFonts w:hint="eastAsia" w:ascii="宋体" w:hAnsi="宋体" w:eastAsia="宋体" w:cs="宋体"/>
                <w:color w:val="auto"/>
                <w:sz w:val="24"/>
                <w:szCs w:val="24"/>
                <w:highlight w:val="none"/>
              </w:rPr>
            </w:pPr>
          </w:p>
        </w:tc>
        <w:tc>
          <w:tcPr>
            <w:tcW w:w="954" w:type="dxa"/>
            <w:tcBorders>
              <w:top w:val="single" w:color="auto" w:sz="4" w:space="0"/>
              <w:left w:val="single" w:color="auto" w:sz="4" w:space="0"/>
              <w:bottom w:val="single" w:color="auto" w:sz="4" w:space="0"/>
              <w:right w:val="single" w:color="auto" w:sz="4" w:space="0"/>
            </w:tcBorders>
            <w:noWrap w:val="0"/>
            <w:vAlign w:val="center"/>
          </w:tcPr>
          <w:p w14:paraId="2D791D04">
            <w:pPr>
              <w:topLinePunct/>
              <w:spacing w:line="440" w:lineRule="exact"/>
              <w:ind w:left="0" w:leftChars="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传  真</w:t>
            </w:r>
          </w:p>
        </w:tc>
        <w:tc>
          <w:tcPr>
            <w:tcW w:w="2466" w:type="dxa"/>
            <w:gridSpan w:val="4"/>
            <w:tcBorders>
              <w:top w:val="single" w:color="auto" w:sz="4" w:space="0"/>
              <w:left w:val="single" w:color="auto" w:sz="4" w:space="0"/>
              <w:bottom w:val="single" w:color="auto" w:sz="4" w:space="0"/>
              <w:right w:val="single" w:color="auto" w:sz="4" w:space="0"/>
            </w:tcBorders>
            <w:noWrap w:val="0"/>
            <w:vAlign w:val="center"/>
          </w:tcPr>
          <w:p w14:paraId="64725686">
            <w:pPr>
              <w:topLinePunct/>
              <w:spacing w:line="440" w:lineRule="exact"/>
              <w:jc w:val="center"/>
              <w:rPr>
                <w:rFonts w:hint="eastAsia" w:ascii="宋体" w:hAnsi="宋体" w:eastAsia="宋体" w:cs="宋体"/>
                <w:color w:val="auto"/>
                <w:sz w:val="24"/>
                <w:szCs w:val="24"/>
                <w:highlight w:val="none"/>
              </w:rPr>
            </w:pPr>
          </w:p>
        </w:tc>
        <w:tc>
          <w:tcPr>
            <w:tcW w:w="1568" w:type="dxa"/>
            <w:tcBorders>
              <w:top w:val="single" w:color="auto" w:sz="4" w:space="0"/>
              <w:left w:val="single" w:color="auto" w:sz="4" w:space="0"/>
              <w:bottom w:val="single" w:color="auto" w:sz="4" w:space="0"/>
              <w:right w:val="single" w:color="auto" w:sz="4" w:space="0"/>
            </w:tcBorders>
            <w:noWrap w:val="0"/>
            <w:vAlign w:val="center"/>
          </w:tcPr>
          <w:p w14:paraId="06AFA520">
            <w:pPr>
              <w:topLinePunct/>
              <w:spacing w:line="440" w:lineRule="exact"/>
              <w:ind w:left="0" w:leftChars="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网 址</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4F6A3F0C">
            <w:pPr>
              <w:topLinePunct/>
              <w:spacing w:line="440" w:lineRule="exact"/>
              <w:jc w:val="center"/>
              <w:rPr>
                <w:rFonts w:hint="eastAsia" w:ascii="宋体" w:hAnsi="宋体" w:eastAsia="宋体" w:cs="宋体"/>
                <w:color w:val="auto"/>
                <w:sz w:val="24"/>
                <w:szCs w:val="24"/>
                <w:highlight w:val="none"/>
              </w:rPr>
            </w:pPr>
          </w:p>
        </w:tc>
      </w:tr>
      <w:tr w14:paraId="3A7CD6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490F24B8">
            <w:pPr>
              <w:topLinePunct/>
              <w:spacing w:line="440" w:lineRule="exact"/>
              <w:ind w:left="0" w:leftChars="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tc>
        <w:tc>
          <w:tcPr>
            <w:tcW w:w="954" w:type="dxa"/>
            <w:tcBorders>
              <w:top w:val="single" w:color="auto" w:sz="4" w:space="0"/>
              <w:left w:val="single" w:color="auto" w:sz="4" w:space="0"/>
              <w:bottom w:val="single" w:color="auto" w:sz="4" w:space="0"/>
              <w:right w:val="single" w:color="auto" w:sz="4" w:space="0"/>
            </w:tcBorders>
            <w:noWrap w:val="0"/>
            <w:vAlign w:val="center"/>
          </w:tcPr>
          <w:p w14:paraId="0038E6F9">
            <w:pPr>
              <w:topLinePunct/>
              <w:spacing w:line="440" w:lineRule="exact"/>
              <w:ind w:left="0" w:leftChars="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姓名</w:t>
            </w:r>
          </w:p>
        </w:tc>
        <w:tc>
          <w:tcPr>
            <w:tcW w:w="895" w:type="dxa"/>
            <w:tcBorders>
              <w:top w:val="single" w:color="auto" w:sz="4" w:space="0"/>
              <w:left w:val="single" w:color="auto" w:sz="4" w:space="0"/>
              <w:bottom w:val="single" w:color="auto" w:sz="4" w:space="0"/>
              <w:right w:val="single" w:color="auto" w:sz="4" w:space="0"/>
            </w:tcBorders>
            <w:noWrap w:val="0"/>
            <w:vAlign w:val="center"/>
          </w:tcPr>
          <w:p w14:paraId="5B2E8D6B">
            <w:pPr>
              <w:topLinePunct/>
              <w:spacing w:line="440" w:lineRule="exact"/>
              <w:jc w:val="center"/>
              <w:rPr>
                <w:rFonts w:hint="eastAsia" w:ascii="宋体" w:hAnsi="宋体" w:eastAsia="宋体" w:cs="宋体"/>
                <w:color w:val="auto"/>
                <w:sz w:val="24"/>
                <w:szCs w:val="24"/>
                <w:highlight w:val="none"/>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281CEF9E">
            <w:pPr>
              <w:topLinePunct/>
              <w:spacing w:line="440" w:lineRule="exact"/>
              <w:ind w:left="0" w:leftChars="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技术职称</w:t>
            </w:r>
          </w:p>
        </w:tc>
        <w:tc>
          <w:tcPr>
            <w:tcW w:w="1879" w:type="dxa"/>
            <w:gridSpan w:val="2"/>
            <w:tcBorders>
              <w:top w:val="single" w:color="auto" w:sz="4" w:space="0"/>
              <w:left w:val="single" w:color="auto" w:sz="4" w:space="0"/>
              <w:bottom w:val="single" w:color="auto" w:sz="4" w:space="0"/>
              <w:right w:val="single" w:color="auto" w:sz="4" w:space="0"/>
            </w:tcBorders>
            <w:noWrap w:val="0"/>
            <w:vAlign w:val="center"/>
          </w:tcPr>
          <w:p w14:paraId="748883C9">
            <w:pPr>
              <w:topLinePunct/>
              <w:spacing w:line="440" w:lineRule="exact"/>
              <w:jc w:val="center"/>
              <w:rPr>
                <w:rFonts w:hint="eastAsia" w:ascii="宋体" w:hAnsi="宋体" w:eastAsia="宋体" w:cs="宋体"/>
                <w:color w:val="auto"/>
                <w:sz w:val="24"/>
                <w:szCs w:val="24"/>
                <w:highlight w:val="none"/>
              </w:rPr>
            </w:pPr>
          </w:p>
        </w:tc>
        <w:tc>
          <w:tcPr>
            <w:tcW w:w="860" w:type="dxa"/>
            <w:tcBorders>
              <w:top w:val="single" w:color="auto" w:sz="4" w:space="0"/>
              <w:left w:val="single" w:color="auto" w:sz="4" w:space="0"/>
              <w:bottom w:val="single" w:color="auto" w:sz="4" w:space="0"/>
              <w:right w:val="single" w:color="auto" w:sz="4" w:space="0"/>
            </w:tcBorders>
            <w:noWrap w:val="0"/>
            <w:vAlign w:val="center"/>
          </w:tcPr>
          <w:p w14:paraId="26CEAB3C">
            <w:pPr>
              <w:topLinePunct/>
              <w:spacing w:line="440" w:lineRule="exact"/>
              <w:ind w:left="0" w:leftChars="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394FDCBC">
            <w:pPr>
              <w:topLinePunct/>
              <w:spacing w:line="440" w:lineRule="exact"/>
              <w:jc w:val="center"/>
              <w:rPr>
                <w:rFonts w:hint="eastAsia" w:ascii="宋体" w:hAnsi="宋体" w:eastAsia="宋体" w:cs="宋体"/>
                <w:color w:val="auto"/>
                <w:sz w:val="24"/>
                <w:szCs w:val="24"/>
                <w:highlight w:val="none"/>
              </w:rPr>
            </w:pPr>
          </w:p>
        </w:tc>
      </w:tr>
      <w:tr w14:paraId="3F9573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2E3604C1">
            <w:pPr>
              <w:topLinePunct/>
              <w:spacing w:line="440" w:lineRule="exact"/>
              <w:ind w:left="0" w:leftChars="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项目联系人</w:t>
            </w:r>
          </w:p>
        </w:tc>
        <w:tc>
          <w:tcPr>
            <w:tcW w:w="954" w:type="dxa"/>
            <w:tcBorders>
              <w:top w:val="single" w:color="auto" w:sz="4" w:space="0"/>
              <w:left w:val="single" w:color="auto" w:sz="4" w:space="0"/>
              <w:bottom w:val="single" w:color="auto" w:sz="4" w:space="0"/>
              <w:right w:val="single" w:color="auto" w:sz="4" w:space="0"/>
            </w:tcBorders>
            <w:noWrap w:val="0"/>
            <w:vAlign w:val="center"/>
          </w:tcPr>
          <w:p w14:paraId="4573C04F">
            <w:pPr>
              <w:topLinePunct/>
              <w:spacing w:line="440" w:lineRule="exact"/>
              <w:ind w:left="0" w:leftChars="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姓名</w:t>
            </w:r>
          </w:p>
        </w:tc>
        <w:tc>
          <w:tcPr>
            <w:tcW w:w="895" w:type="dxa"/>
            <w:tcBorders>
              <w:top w:val="single" w:color="auto" w:sz="4" w:space="0"/>
              <w:left w:val="single" w:color="auto" w:sz="4" w:space="0"/>
              <w:bottom w:val="single" w:color="auto" w:sz="4" w:space="0"/>
              <w:right w:val="single" w:color="auto" w:sz="4" w:space="0"/>
            </w:tcBorders>
            <w:noWrap w:val="0"/>
            <w:vAlign w:val="center"/>
          </w:tcPr>
          <w:p w14:paraId="6978DB28">
            <w:pPr>
              <w:topLinePunct/>
              <w:spacing w:line="440" w:lineRule="exact"/>
              <w:jc w:val="center"/>
              <w:rPr>
                <w:rFonts w:hint="eastAsia" w:ascii="宋体" w:hAnsi="宋体" w:eastAsia="宋体" w:cs="宋体"/>
                <w:color w:val="auto"/>
                <w:sz w:val="24"/>
                <w:szCs w:val="24"/>
                <w:highlight w:val="none"/>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36B15997">
            <w:pPr>
              <w:topLinePunct/>
              <w:spacing w:line="440" w:lineRule="exact"/>
              <w:ind w:left="0" w:leftChars="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技术职称</w:t>
            </w:r>
          </w:p>
        </w:tc>
        <w:tc>
          <w:tcPr>
            <w:tcW w:w="1879" w:type="dxa"/>
            <w:gridSpan w:val="2"/>
            <w:tcBorders>
              <w:top w:val="single" w:color="auto" w:sz="4" w:space="0"/>
              <w:left w:val="single" w:color="auto" w:sz="4" w:space="0"/>
              <w:bottom w:val="single" w:color="auto" w:sz="4" w:space="0"/>
              <w:right w:val="single" w:color="auto" w:sz="4" w:space="0"/>
            </w:tcBorders>
            <w:noWrap w:val="0"/>
            <w:vAlign w:val="center"/>
          </w:tcPr>
          <w:p w14:paraId="75DD55F6">
            <w:pPr>
              <w:topLinePunct/>
              <w:spacing w:line="440" w:lineRule="exact"/>
              <w:jc w:val="center"/>
              <w:rPr>
                <w:rFonts w:hint="eastAsia" w:ascii="宋体" w:hAnsi="宋体" w:eastAsia="宋体" w:cs="宋体"/>
                <w:color w:val="auto"/>
                <w:sz w:val="24"/>
                <w:szCs w:val="24"/>
                <w:highlight w:val="none"/>
              </w:rPr>
            </w:pPr>
          </w:p>
        </w:tc>
        <w:tc>
          <w:tcPr>
            <w:tcW w:w="860" w:type="dxa"/>
            <w:tcBorders>
              <w:top w:val="single" w:color="auto" w:sz="4" w:space="0"/>
              <w:left w:val="single" w:color="auto" w:sz="4" w:space="0"/>
              <w:bottom w:val="single" w:color="auto" w:sz="4" w:space="0"/>
              <w:right w:val="single" w:color="auto" w:sz="4" w:space="0"/>
            </w:tcBorders>
            <w:noWrap w:val="0"/>
            <w:vAlign w:val="center"/>
          </w:tcPr>
          <w:p w14:paraId="3E2B6134">
            <w:pPr>
              <w:topLinePunct/>
              <w:spacing w:line="440" w:lineRule="exact"/>
              <w:ind w:left="0" w:leftChars="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156D7A34">
            <w:pPr>
              <w:topLinePunct/>
              <w:spacing w:line="440" w:lineRule="exact"/>
              <w:jc w:val="center"/>
              <w:rPr>
                <w:rFonts w:hint="eastAsia" w:ascii="宋体" w:hAnsi="宋体" w:eastAsia="宋体" w:cs="宋体"/>
                <w:color w:val="auto"/>
                <w:sz w:val="24"/>
                <w:szCs w:val="24"/>
                <w:highlight w:val="none"/>
              </w:rPr>
            </w:pPr>
          </w:p>
        </w:tc>
      </w:tr>
      <w:tr w14:paraId="6540CE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4DFA51B0">
            <w:pPr>
              <w:topLinePunct/>
              <w:spacing w:line="440" w:lineRule="exact"/>
              <w:ind w:left="0" w:leftChars="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成立时间</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32FDDF2E">
            <w:pPr>
              <w:topLinePunct/>
              <w:spacing w:line="440" w:lineRule="exact"/>
              <w:jc w:val="center"/>
              <w:rPr>
                <w:rFonts w:hint="eastAsia" w:ascii="宋体" w:hAnsi="宋体" w:eastAsia="宋体" w:cs="宋体"/>
                <w:color w:val="auto"/>
                <w:sz w:val="24"/>
                <w:szCs w:val="24"/>
                <w:highlight w:val="none"/>
              </w:rPr>
            </w:pPr>
          </w:p>
        </w:tc>
        <w:tc>
          <w:tcPr>
            <w:tcW w:w="4991" w:type="dxa"/>
            <w:gridSpan w:val="6"/>
            <w:tcBorders>
              <w:top w:val="single" w:color="auto" w:sz="4" w:space="0"/>
              <w:left w:val="single" w:color="auto" w:sz="4" w:space="0"/>
              <w:bottom w:val="single" w:color="auto" w:sz="4" w:space="0"/>
              <w:right w:val="single" w:color="auto" w:sz="4" w:space="0"/>
            </w:tcBorders>
            <w:noWrap w:val="0"/>
            <w:vAlign w:val="center"/>
          </w:tcPr>
          <w:p w14:paraId="1CDEA18B">
            <w:pPr>
              <w:topLinePunct/>
              <w:spacing w:line="440" w:lineRule="exact"/>
              <w:ind w:firstLine="120" w:firstLineChars="5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员工总人数：</w:t>
            </w:r>
          </w:p>
        </w:tc>
      </w:tr>
      <w:tr w14:paraId="5C1902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006F14A6">
            <w:pPr>
              <w:topLinePunct/>
              <w:spacing w:line="440" w:lineRule="exact"/>
              <w:ind w:left="0" w:leftChars="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营业执照号</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5EF3B323">
            <w:pPr>
              <w:topLinePunct/>
              <w:spacing w:line="440" w:lineRule="exact"/>
              <w:jc w:val="center"/>
              <w:rPr>
                <w:rFonts w:hint="eastAsia" w:ascii="宋体" w:hAnsi="宋体" w:eastAsia="宋体" w:cs="宋体"/>
                <w:color w:val="auto"/>
                <w:sz w:val="24"/>
                <w:szCs w:val="24"/>
                <w:highlight w:val="none"/>
              </w:rPr>
            </w:pPr>
          </w:p>
        </w:tc>
        <w:tc>
          <w:tcPr>
            <w:tcW w:w="840" w:type="dxa"/>
            <w:vMerge w:val="restart"/>
            <w:tcBorders>
              <w:top w:val="single" w:color="auto" w:sz="4" w:space="0"/>
              <w:left w:val="single" w:color="auto" w:sz="4" w:space="0"/>
              <w:bottom w:val="single" w:color="auto" w:sz="4" w:space="0"/>
              <w:right w:val="single" w:color="auto" w:sz="4" w:space="0"/>
            </w:tcBorders>
            <w:noWrap w:val="0"/>
            <w:vAlign w:val="center"/>
          </w:tcPr>
          <w:p w14:paraId="4ECB5070">
            <w:pPr>
              <w:topLinePunct/>
              <w:spacing w:line="440" w:lineRule="exact"/>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其中</w:t>
            </w:r>
          </w:p>
        </w:tc>
        <w:tc>
          <w:tcPr>
            <w:tcW w:w="2299" w:type="dxa"/>
            <w:gridSpan w:val="3"/>
            <w:vMerge w:val="restart"/>
            <w:tcBorders>
              <w:top w:val="single" w:color="auto" w:sz="4" w:space="0"/>
              <w:left w:val="single" w:color="auto" w:sz="4" w:space="0"/>
              <w:right w:val="single" w:color="auto" w:sz="4" w:space="0"/>
            </w:tcBorders>
            <w:noWrap w:val="0"/>
            <w:vAlign w:val="center"/>
          </w:tcPr>
          <w:p w14:paraId="48EA8693">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职称人员</w:t>
            </w:r>
          </w:p>
        </w:tc>
        <w:tc>
          <w:tcPr>
            <w:tcW w:w="1852" w:type="dxa"/>
            <w:gridSpan w:val="2"/>
            <w:vMerge w:val="restart"/>
            <w:tcBorders>
              <w:top w:val="single" w:color="auto" w:sz="4" w:space="0"/>
              <w:left w:val="single" w:color="auto" w:sz="4" w:space="0"/>
              <w:right w:val="single" w:color="auto" w:sz="4" w:space="0"/>
            </w:tcBorders>
            <w:noWrap w:val="0"/>
            <w:vAlign w:val="center"/>
          </w:tcPr>
          <w:p w14:paraId="63FB31E0">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w:t>
            </w:r>
          </w:p>
        </w:tc>
      </w:tr>
      <w:tr w14:paraId="1523ED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0"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6C98C2EB">
            <w:pPr>
              <w:topLinePunct/>
              <w:spacing w:line="440" w:lineRule="exact"/>
              <w:ind w:left="0" w:leftChars="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注册资金</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46B9C585">
            <w:pPr>
              <w:topLinePunct/>
              <w:spacing w:line="440" w:lineRule="exact"/>
              <w:jc w:val="center"/>
              <w:rPr>
                <w:rFonts w:hint="eastAsia" w:ascii="宋体" w:hAnsi="宋体" w:eastAsia="宋体" w:cs="宋体"/>
                <w:color w:val="auto"/>
                <w:sz w:val="24"/>
                <w:szCs w:val="24"/>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3A78E069">
            <w:pPr>
              <w:topLinePunct/>
              <w:spacing w:line="440" w:lineRule="exact"/>
              <w:jc w:val="center"/>
              <w:rPr>
                <w:rFonts w:hint="eastAsia" w:ascii="宋体" w:hAnsi="宋体" w:eastAsia="宋体" w:cs="宋体"/>
                <w:color w:val="auto"/>
                <w:sz w:val="24"/>
                <w:szCs w:val="24"/>
                <w:highlight w:val="none"/>
              </w:rPr>
            </w:pPr>
          </w:p>
        </w:tc>
        <w:tc>
          <w:tcPr>
            <w:tcW w:w="2299" w:type="dxa"/>
            <w:gridSpan w:val="3"/>
            <w:vMerge w:val="continue"/>
            <w:tcBorders>
              <w:left w:val="single" w:color="auto" w:sz="4" w:space="0"/>
              <w:right w:val="single" w:color="auto" w:sz="4" w:space="0"/>
            </w:tcBorders>
            <w:noWrap w:val="0"/>
            <w:vAlign w:val="center"/>
          </w:tcPr>
          <w:p w14:paraId="3A61E745">
            <w:pPr>
              <w:topLinePunct/>
              <w:spacing w:line="440" w:lineRule="exact"/>
              <w:jc w:val="center"/>
              <w:rPr>
                <w:rFonts w:hint="eastAsia" w:ascii="宋体" w:hAnsi="宋体" w:eastAsia="宋体" w:cs="宋体"/>
                <w:color w:val="auto"/>
                <w:sz w:val="24"/>
                <w:szCs w:val="24"/>
                <w:highlight w:val="none"/>
              </w:rPr>
            </w:pPr>
          </w:p>
        </w:tc>
        <w:tc>
          <w:tcPr>
            <w:tcW w:w="1852" w:type="dxa"/>
            <w:gridSpan w:val="2"/>
            <w:vMerge w:val="continue"/>
            <w:tcBorders>
              <w:left w:val="single" w:color="auto" w:sz="4" w:space="0"/>
              <w:right w:val="single" w:color="auto" w:sz="4" w:space="0"/>
            </w:tcBorders>
            <w:noWrap w:val="0"/>
            <w:vAlign w:val="center"/>
          </w:tcPr>
          <w:p w14:paraId="2325163C">
            <w:pPr>
              <w:topLinePunct/>
              <w:spacing w:line="440" w:lineRule="exact"/>
              <w:jc w:val="center"/>
              <w:rPr>
                <w:rFonts w:hint="eastAsia" w:ascii="宋体" w:hAnsi="宋体" w:eastAsia="宋体" w:cs="宋体"/>
                <w:color w:val="auto"/>
                <w:sz w:val="24"/>
                <w:szCs w:val="24"/>
                <w:highlight w:val="none"/>
              </w:rPr>
            </w:pPr>
          </w:p>
        </w:tc>
      </w:tr>
      <w:tr w14:paraId="0932E6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14C23916">
            <w:pPr>
              <w:topLinePunct/>
              <w:spacing w:line="440" w:lineRule="exact"/>
              <w:ind w:left="0" w:leftChars="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基本账户</w:t>
            </w:r>
          </w:p>
          <w:p w14:paraId="2CA171C5">
            <w:pPr>
              <w:topLinePunct/>
              <w:spacing w:line="440" w:lineRule="exact"/>
              <w:ind w:left="0" w:leftChars="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09A1A14D">
            <w:pPr>
              <w:topLinePunct/>
              <w:spacing w:line="440" w:lineRule="exact"/>
              <w:jc w:val="center"/>
              <w:rPr>
                <w:rFonts w:hint="eastAsia" w:ascii="宋体" w:hAnsi="宋体" w:eastAsia="宋体" w:cs="宋体"/>
                <w:color w:val="auto"/>
                <w:sz w:val="24"/>
                <w:szCs w:val="24"/>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4469863D">
            <w:pPr>
              <w:topLinePunct/>
              <w:spacing w:line="440" w:lineRule="exact"/>
              <w:jc w:val="center"/>
              <w:rPr>
                <w:rFonts w:hint="eastAsia" w:ascii="宋体" w:hAnsi="宋体" w:eastAsia="宋体" w:cs="宋体"/>
                <w:color w:val="auto"/>
                <w:sz w:val="24"/>
                <w:szCs w:val="24"/>
                <w:highlight w:val="none"/>
              </w:rPr>
            </w:pPr>
          </w:p>
        </w:tc>
        <w:tc>
          <w:tcPr>
            <w:tcW w:w="2299" w:type="dxa"/>
            <w:gridSpan w:val="3"/>
            <w:vMerge w:val="continue"/>
            <w:tcBorders>
              <w:left w:val="single" w:color="auto" w:sz="4" w:space="0"/>
              <w:right w:val="single" w:color="auto" w:sz="4" w:space="0"/>
            </w:tcBorders>
            <w:noWrap w:val="0"/>
            <w:vAlign w:val="center"/>
          </w:tcPr>
          <w:p w14:paraId="5C6299B4">
            <w:pPr>
              <w:topLinePunct/>
              <w:spacing w:line="440" w:lineRule="exact"/>
              <w:jc w:val="center"/>
              <w:rPr>
                <w:rFonts w:hint="eastAsia" w:ascii="宋体" w:hAnsi="宋体" w:eastAsia="宋体" w:cs="宋体"/>
                <w:color w:val="auto"/>
                <w:sz w:val="24"/>
                <w:szCs w:val="24"/>
                <w:highlight w:val="none"/>
              </w:rPr>
            </w:pPr>
          </w:p>
        </w:tc>
        <w:tc>
          <w:tcPr>
            <w:tcW w:w="1852" w:type="dxa"/>
            <w:gridSpan w:val="2"/>
            <w:vMerge w:val="continue"/>
            <w:tcBorders>
              <w:left w:val="single" w:color="auto" w:sz="4" w:space="0"/>
              <w:right w:val="single" w:color="auto" w:sz="4" w:space="0"/>
            </w:tcBorders>
            <w:noWrap w:val="0"/>
            <w:vAlign w:val="center"/>
          </w:tcPr>
          <w:p w14:paraId="412E6A37">
            <w:pPr>
              <w:topLinePunct/>
              <w:spacing w:line="440" w:lineRule="exact"/>
              <w:jc w:val="center"/>
              <w:rPr>
                <w:rFonts w:hint="eastAsia" w:ascii="宋体" w:hAnsi="宋体" w:eastAsia="宋体" w:cs="宋体"/>
                <w:color w:val="auto"/>
                <w:sz w:val="24"/>
                <w:szCs w:val="24"/>
                <w:highlight w:val="none"/>
              </w:rPr>
            </w:pPr>
          </w:p>
        </w:tc>
      </w:tr>
      <w:tr w14:paraId="7E3C30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4F1F50B2">
            <w:pPr>
              <w:topLinePunct/>
              <w:spacing w:line="440" w:lineRule="exact"/>
              <w:ind w:left="0" w:leftChars="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账号</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0DBAA9BD">
            <w:pPr>
              <w:topLinePunct/>
              <w:spacing w:line="440" w:lineRule="exact"/>
              <w:jc w:val="center"/>
              <w:rPr>
                <w:rFonts w:hint="eastAsia" w:ascii="宋体" w:hAnsi="宋体" w:eastAsia="宋体" w:cs="宋体"/>
                <w:color w:val="auto"/>
                <w:sz w:val="24"/>
                <w:szCs w:val="24"/>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2236FE39">
            <w:pPr>
              <w:topLinePunct/>
              <w:spacing w:line="440" w:lineRule="exact"/>
              <w:jc w:val="center"/>
              <w:rPr>
                <w:rFonts w:hint="eastAsia" w:ascii="宋体" w:hAnsi="宋体" w:eastAsia="宋体" w:cs="宋体"/>
                <w:color w:val="auto"/>
                <w:sz w:val="24"/>
                <w:szCs w:val="24"/>
                <w:highlight w:val="none"/>
              </w:rPr>
            </w:pPr>
          </w:p>
        </w:tc>
        <w:tc>
          <w:tcPr>
            <w:tcW w:w="2299" w:type="dxa"/>
            <w:gridSpan w:val="3"/>
            <w:vMerge w:val="continue"/>
            <w:tcBorders>
              <w:left w:val="single" w:color="auto" w:sz="4" w:space="0"/>
              <w:right w:val="single" w:color="auto" w:sz="4" w:space="0"/>
            </w:tcBorders>
            <w:noWrap w:val="0"/>
            <w:vAlign w:val="center"/>
          </w:tcPr>
          <w:p w14:paraId="613C1880">
            <w:pPr>
              <w:topLinePunct/>
              <w:spacing w:line="440" w:lineRule="exact"/>
              <w:jc w:val="center"/>
              <w:rPr>
                <w:rFonts w:hint="eastAsia" w:ascii="宋体" w:hAnsi="宋体" w:eastAsia="宋体" w:cs="宋体"/>
                <w:color w:val="auto"/>
                <w:sz w:val="24"/>
                <w:szCs w:val="24"/>
                <w:highlight w:val="none"/>
              </w:rPr>
            </w:pPr>
          </w:p>
        </w:tc>
        <w:tc>
          <w:tcPr>
            <w:tcW w:w="1852" w:type="dxa"/>
            <w:gridSpan w:val="2"/>
            <w:vMerge w:val="continue"/>
            <w:tcBorders>
              <w:left w:val="single" w:color="auto" w:sz="4" w:space="0"/>
              <w:right w:val="single" w:color="auto" w:sz="4" w:space="0"/>
            </w:tcBorders>
            <w:noWrap w:val="0"/>
            <w:vAlign w:val="center"/>
          </w:tcPr>
          <w:p w14:paraId="5110956E">
            <w:pPr>
              <w:topLinePunct/>
              <w:spacing w:line="440" w:lineRule="exact"/>
              <w:jc w:val="center"/>
              <w:rPr>
                <w:rFonts w:hint="eastAsia" w:ascii="宋体" w:hAnsi="宋体" w:eastAsia="宋体" w:cs="宋体"/>
                <w:color w:val="auto"/>
                <w:sz w:val="24"/>
                <w:szCs w:val="24"/>
                <w:highlight w:val="none"/>
              </w:rPr>
            </w:pPr>
          </w:p>
        </w:tc>
      </w:tr>
      <w:tr w14:paraId="5B575E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6"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65FFEE56">
            <w:pPr>
              <w:topLinePunct/>
              <w:spacing w:line="440" w:lineRule="exact"/>
              <w:ind w:left="0" w:leftChars="0"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企业资质/相关体系证书</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2C8E57E0">
            <w:pPr>
              <w:topLinePunct/>
              <w:spacing w:line="440" w:lineRule="exact"/>
              <w:jc w:val="center"/>
              <w:rPr>
                <w:rFonts w:hint="eastAsia" w:ascii="宋体" w:hAnsi="宋体" w:eastAsia="宋体" w:cs="宋体"/>
                <w:color w:val="auto"/>
                <w:sz w:val="24"/>
                <w:szCs w:val="24"/>
                <w:highlight w:val="none"/>
              </w:rPr>
            </w:pPr>
          </w:p>
        </w:tc>
        <w:tc>
          <w:tcPr>
            <w:tcW w:w="840" w:type="dxa"/>
            <w:vMerge w:val="continue"/>
            <w:tcBorders>
              <w:top w:val="single" w:color="auto" w:sz="4" w:space="0"/>
              <w:left w:val="single" w:color="auto" w:sz="4" w:space="0"/>
              <w:bottom w:val="single" w:color="auto" w:sz="4" w:space="0"/>
              <w:right w:val="single" w:color="auto" w:sz="4" w:space="0"/>
            </w:tcBorders>
            <w:noWrap w:val="0"/>
            <w:vAlign w:val="center"/>
          </w:tcPr>
          <w:p w14:paraId="3701CD26">
            <w:pPr>
              <w:topLinePunct/>
              <w:spacing w:line="440" w:lineRule="exact"/>
              <w:jc w:val="center"/>
              <w:rPr>
                <w:rFonts w:hint="eastAsia" w:ascii="宋体" w:hAnsi="宋体" w:eastAsia="宋体" w:cs="宋体"/>
                <w:color w:val="auto"/>
                <w:sz w:val="24"/>
                <w:szCs w:val="24"/>
                <w:highlight w:val="none"/>
              </w:rPr>
            </w:pPr>
          </w:p>
        </w:tc>
        <w:tc>
          <w:tcPr>
            <w:tcW w:w="2299" w:type="dxa"/>
            <w:gridSpan w:val="3"/>
            <w:vMerge w:val="continue"/>
            <w:tcBorders>
              <w:left w:val="single" w:color="auto" w:sz="4" w:space="0"/>
              <w:bottom w:val="single" w:color="auto" w:sz="4" w:space="0"/>
              <w:right w:val="single" w:color="auto" w:sz="4" w:space="0"/>
            </w:tcBorders>
            <w:noWrap w:val="0"/>
            <w:vAlign w:val="center"/>
          </w:tcPr>
          <w:p w14:paraId="41AB801E">
            <w:pPr>
              <w:topLinePunct/>
              <w:spacing w:line="440" w:lineRule="exact"/>
              <w:jc w:val="center"/>
              <w:rPr>
                <w:rFonts w:hint="eastAsia" w:ascii="宋体" w:hAnsi="宋体" w:eastAsia="宋体" w:cs="宋体"/>
                <w:color w:val="auto"/>
                <w:sz w:val="24"/>
                <w:szCs w:val="32"/>
                <w:highlight w:val="none"/>
              </w:rPr>
            </w:pPr>
          </w:p>
        </w:tc>
        <w:tc>
          <w:tcPr>
            <w:tcW w:w="1852" w:type="dxa"/>
            <w:gridSpan w:val="2"/>
            <w:vMerge w:val="continue"/>
            <w:tcBorders>
              <w:left w:val="single" w:color="auto" w:sz="4" w:space="0"/>
              <w:bottom w:val="single" w:color="auto" w:sz="4" w:space="0"/>
              <w:right w:val="single" w:color="auto" w:sz="4" w:space="0"/>
            </w:tcBorders>
            <w:noWrap w:val="0"/>
            <w:vAlign w:val="center"/>
          </w:tcPr>
          <w:p w14:paraId="41FB4292">
            <w:pPr>
              <w:topLinePunct/>
              <w:spacing w:line="440" w:lineRule="exact"/>
              <w:jc w:val="center"/>
              <w:rPr>
                <w:rFonts w:hint="eastAsia" w:ascii="宋体" w:hAnsi="宋体" w:eastAsia="宋体" w:cs="宋体"/>
                <w:color w:val="auto"/>
                <w:sz w:val="24"/>
                <w:szCs w:val="24"/>
                <w:highlight w:val="none"/>
              </w:rPr>
            </w:pPr>
          </w:p>
        </w:tc>
      </w:tr>
      <w:tr w14:paraId="34A56B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80" w:hRule="atLeast"/>
          <w:jc w:val="center"/>
        </w:trPr>
        <w:tc>
          <w:tcPr>
            <w:tcW w:w="1728" w:type="dxa"/>
            <w:tcBorders>
              <w:top w:val="single" w:color="auto" w:sz="4" w:space="0"/>
              <w:left w:val="single" w:color="auto" w:sz="4" w:space="0"/>
              <w:right w:val="single" w:color="auto" w:sz="4" w:space="0"/>
            </w:tcBorders>
            <w:noWrap w:val="0"/>
            <w:vAlign w:val="center"/>
          </w:tcPr>
          <w:p w14:paraId="465E0115">
            <w:pPr>
              <w:topLinePunct/>
              <w:spacing w:line="440" w:lineRule="exact"/>
              <w:ind w:firstLine="240" w:firstLineChars="10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经营范围</w:t>
            </w:r>
          </w:p>
        </w:tc>
        <w:tc>
          <w:tcPr>
            <w:tcW w:w="6840" w:type="dxa"/>
            <w:gridSpan w:val="8"/>
            <w:tcBorders>
              <w:top w:val="single" w:color="auto" w:sz="4" w:space="0"/>
              <w:left w:val="single" w:color="auto" w:sz="4" w:space="0"/>
              <w:right w:val="single" w:color="auto" w:sz="4" w:space="0"/>
            </w:tcBorders>
            <w:noWrap w:val="0"/>
            <w:vAlign w:val="center"/>
          </w:tcPr>
          <w:p w14:paraId="26010351">
            <w:pPr>
              <w:topLinePunct/>
              <w:spacing w:line="440" w:lineRule="exact"/>
              <w:jc w:val="center"/>
              <w:rPr>
                <w:rFonts w:hint="eastAsia" w:ascii="宋体" w:hAnsi="宋体" w:eastAsia="宋体" w:cs="宋体"/>
                <w:color w:val="auto"/>
                <w:sz w:val="24"/>
                <w:szCs w:val="24"/>
                <w:highlight w:val="none"/>
              </w:rPr>
            </w:pPr>
          </w:p>
          <w:p w14:paraId="6091691B">
            <w:pPr>
              <w:topLinePunct/>
              <w:spacing w:line="440" w:lineRule="exact"/>
              <w:jc w:val="center"/>
              <w:rPr>
                <w:rFonts w:hint="eastAsia" w:ascii="宋体" w:hAnsi="宋体" w:eastAsia="宋体" w:cs="宋体"/>
                <w:color w:val="auto"/>
                <w:sz w:val="24"/>
                <w:szCs w:val="24"/>
                <w:highlight w:val="none"/>
              </w:rPr>
            </w:pPr>
          </w:p>
          <w:p w14:paraId="62684A5A">
            <w:pPr>
              <w:topLinePunct/>
              <w:spacing w:line="440" w:lineRule="exact"/>
              <w:jc w:val="center"/>
              <w:rPr>
                <w:rFonts w:hint="eastAsia" w:ascii="宋体" w:hAnsi="宋体" w:eastAsia="宋体" w:cs="宋体"/>
                <w:color w:val="auto"/>
                <w:sz w:val="24"/>
                <w:szCs w:val="24"/>
                <w:highlight w:val="none"/>
              </w:rPr>
            </w:pPr>
          </w:p>
          <w:p w14:paraId="0F3A1B1D">
            <w:pPr>
              <w:topLinePunct/>
              <w:spacing w:line="440" w:lineRule="exact"/>
              <w:jc w:val="center"/>
              <w:rPr>
                <w:rFonts w:hint="eastAsia" w:ascii="宋体" w:hAnsi="宋体" w:eastAsia="宋体" w:cs="宋体"/>
                <w:color w:val="auto"/>
                <w:sz w:val="24"/>
                <w:szCs w:val="24"/>
                <w:highlight w:val="none"/>
              </w:rPr>
            </w:pPr>
          </w:p>
          <w:p w14:paraId="23510042">
            <w:pPr>
              <w:topLinePunct/>
              <w:spacing w:line="440" w:lineRule="exact"/>
              <w:rPr>
                <w:rFonts w:hint="eastAsia" w:ascii="宋体" w:hAnsi="宋体" w:eastAsia="宋体" w:cs="宋体"/>
                <w:color w:val="auto"/>
                <w:sz w:val="24"/>
                <w:szCs w:val="24"/>
                <w:highlight w:val="none"/>
              </w:rPr>
            </w:pPr>
          </w:p>
        </w:tc>
      </w:tr>
      <w:tr w14:paraId="3C7DD2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002432B9">
            <w:pPr>
              <w:topLinePunct/>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备注</w:t>
            </w:r>
          </w:p>
        </w:tc>
        <w:tc>
          <w:tcPr>
            <w:tcW w:w="6840" w:type="dxa"/>
            <w:gridSpan w:val="8"/>
            <w:tcBorders>
              <w:top w:val="single" w:color="auto" w:sz="4" w:space="0"/>
              <w:left w:val="single" w:color="auto" w:sz="4" w:space="0"/>
              <w:bottom w:val="single" w:color="auto" w:sz="4" w:space="0"/>
              <w:right w:val="single" w:color="auto" w:sz="4" w:space="0"/>
            </w:tcBorders>
            <w:noWrap w:val="0"/>
            <w:vAlign w:val="center"/>
          </w:tcPr>
          <w:p w14:paraId="38864618">
            <w:pPr>
              <w:topLinePunct/>
              <w:spacing w:line="440" w:lineRule="exact"/>
              <w:jc w:val="center"/>
              <w:rPr>
                <w:rFonts w:hint="eastAsia" w:ascii="宋体" w:hAnsi="宋体" w:eastAsia="宋体" w:cs="宋体"/>
                <w:color w:val="auto"/>
                <w:sz w:val="24"/>
                <w:szCs w:val="24"/>
                <w:highlight w:val="none"/>
              </w:rPr>
            </w:pPr>
          </w:p>
        </w:tc>
      </w:tr>
    </w:tbl>
    <w:p w14:paraId="6635D7F1">
      <w:pPr>
        <w:pStyle w:val="8"/>
        <w:spacing w:line="360" w:lineRule="auto"/>
        <w:ind w:firstLine="600"/>
        <w:rPr>
          <w:rFonts w:hint="eastAsia" w:ascii="宋体" w:hAnsi="宋体" w:eastAsia="宋体" w:cs="宋体"/>
          <w:b/>
          <w:color w:val="auto"/>
          <w:sz w:val="24"/>
          <w:szCs w:val="22"/>
          <w:highlight w:val="none"/>
        </w:rPr>
      </w:pPr>
      <w:r>
        <w:rPr>
          <w:rFonts w:hint="eastAsia" w:ascii="宋体" w:hAnsi="宋体" w:eastAsia="宋体" w:cs="宋体"/>
          <w:b/>
          <w:color w:val="auto"/>
          <w:sz w:val="24"/>
          <w:szCs w:val="22"/>
          <w:highlight w:val="none"/>
        </w:rPr>
        <w:t>注：后附企业营业执照、税务登记证</w:t>
      </w:r>
      <w:r>
        <w:rPr>
          <w:rFonts w:hint="eastAsia" w:ascii="宋体" w:hAnsi="宋体" w:eastAsia="宋体" w:cs="宋体"/>
          <w:bCs/>
          <w:color w:val="auto"/>
          <w:kern w:val="0"/>
          <w:sz w:val="24"/>
          <w:szCs w:val="24"/>
          <w:highlight w:val="none"/>
        </w:rPr>
        <w:t>（五证合一无需提供）</w:t>
      </w:r>
      <w:r>
        <w:rPr>
          <w:rFonts w:hint="eastAsia" w:ascii="宋体" w:hAnsi="宋体" w:eastAsia="宋体" w:cs="宋体"/>
          <w:b/>
          <w:color w:val="auto"/>
          <w:sz w:val="24"/>
          <w:szCs w:val="22"/>
          <w:highlight w:val="none"/>
        </w:rPr>
        <w:t>、组织机构代码证</w:t>
      </w:r>
      <w:r>
        <w:rPr>
          <w:rFonts w:hint="eastAsia" w:ascii="宋体" w:hAnsi="宋体" w:eastAsia="宋体" w:cs="宋体"/>
          <w:bCs/>
          <w:color w:val="auto"/>
          <w:kern w:val="0"/>
          <w:sz w:val="24"/>
          <w:szCs w:val="24"/>
          <w:highlight w:val="none"/>
        </w:rPr>
        <w:t>（五证合一无需提供）</w:t>
      </w:r>
      <w:r>
        <w:rPr>
          <w:rFonts w:hint="eastAsia" w:ascii="宋体" w:hAnsi="宋体" w:eastAsia="宋体" w:cs="宋体"/>
          <w:b/>
          <w:color w:val="auto"/>
          <w:sz w:val="24"/>
          <w:szCs w:val="22"/>
          <w:highlight w:val="none"/>
        </w:rPr>
        <w:t>、企业相关许可证/资格证书等的复印件加盖公章。</w:t>
      </w:r>
    </w:p>
    <w:p w14:paraId="3C732607">
      <w:pPr>
        <w:autoSpaceDE w:val="0"/>
        <w:autoSpaceDN w:val="0"/>
        <w:adjustRightInd w:val="0"/>
        <w:rPr>
          <w:rFonts w:hint="eastAsia" w:ascii="宋体" w:hAnsi="宋体" w:eastAsia="宋体" w:cs="宋体"/>
          <w:b/>
          <w:color w:val="auto"/>
          <w:sz w:val="36"/>
          <w:highlight w:val="none"/>
        </w:rPr>
        <w:sectPr>
          <w:footerReference r:id="rId18" w:type="default"/>
          <w:footerReference r:id="rId19" w:type="even"/>
          <w:pgSz w:w="11905" w:h="16838"/>
          <w:pgMar w:top="1440" w:right="1803" w:bottom="1440" w:left="1803" w:header="850" w:footer="850" w:gutter="0"/>
          <w:pgNumType w:fmt="decimal"/>
          <w:cols w:space="0" w:num="1"/>
          <w:rtlGutter w:val="0"/>
          <w:docGrid w:linePitch="312" w:charSpace="0"/>
        </w:sectPr>
      </w:pPr>
    </w:p>
    <w:p w14:paraId="4D3F0CE0">
      <w:pPr>
        <w:shd w:val="clear" w:color="auto" w:fill="auto"/>
        <w:spacing w:line="360" w:lineRule="auto"/>
        <w:jc w:val="center"/>
        <w:rPr>
          <w:rFonts w:hint="eastAsia" w:ascii="宋体" w:hAnsi="宋体" w:eastAsia="宋体" w:cs="宋体"/>
          <w:b/>
          <w:color w:val="auto"/>
          <w:sz w:val="30"/>
          <w:szCs w:val="30"/>
          <w:highlight w:val="none"/>
        </w:rPr>
      </w:pPr>
      <w:bookmarkStart w:id="146" w:name="_Toc323749846"/>
      <w:bookmarkStart w:id="147" w:name="_Toc252195895"/>
      <w:bookmarkStart w:id="148" w:name="_Toc423327244"/>
      <w:r>
        <w:rPr>
          <w:rFonts w:hint="eastAsia" w:ascii="宋体" w:hAnsi="宋体" w:eastAsia="宋体" w:cs="宋体"/>
          <w:b/>
          <w:color w:val="auto"/>
          <w:sz w:val="30"/>
          <w:szCs w:val="30"/>
          <w:highlight w:val="none"/>
        </w:rPr>
        <w:t xml:space="preserve">(二) </w:t>
      </w:r>
      <w:bookmarkEnd w:id="146"/>
      <w:bookmarkEnd w:id="147"/>
      <w:bookmarkEnd w:id="148"/>
      <w:r>
        <w:rPr>
          <w:rFonts w:hint="eastAsia" w:ascii="宋体" w:hAnsi="宋体" w:eastAsia="宋体" w:cs="宋体"/>
          <w:b/>
          <w:color w:val="auto"/>
          <w:sz w:val="30"/>
          <w:szCs w:val="30"/>
          <w:highlight w:val="none"/>
        </w:rPr>
        <w:t>财务状况表</w:t>
      </w:r>
    </w:p>
    <w:p w14:paraId="2BE021F6">
      <w:pPr>
        <w:spacing w:before="137" w:line="219" w:lineRule="auto"/>
        <w:ind w:left="0" w:lef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b/>
          <w:bCs/>
          <w:color w:val="auto"/>
          <w:spacing w:val="-9"/>
          <w:sz w:val="32"/>
          <w:szCs w:val="32"/>
          <w:highlight w:val="none"/>
          <w:lang w:val="en-US" w:eastAsia="zh-CN"/>
        </w:rPr>
        <w:t xml:space="preserve">   </w:t>
      </w:r>
      <w:r>
        <w:rPr>
          <w:rFonts w:hint="eastAsia" w:ascii="宋体" w:hAnsi="宋体" w:eastAsia="宋体" w:cs="宋体"/>
          <w:b/>
          <w:bCs/>
          <w:color w:val="auto"/>
          <w:spacing w:val="-9"/>
          <w:sz w:val="32"/>
          <w:szCs w:val="32"/>
          <w:highlight w:val="none"/>
        </w:rPr>
        <w:t>资格条件承诺函</w:t>
      </w:r>
    </w:p>
    <w:p w14:paraId="50210760">
      <w:pPr>
        <w:spacing w:line="272" w:lineRule="auto"/>
        <w:rPr>
          <w:rFonts w:hint="eastAsia" w:ascii="宋体" w:hAnsi="宋体" w:eastAsia="宋体" w:cs="宋体"/>
          <w:color w:val="auto"/>
          <w:sz w:val="21"/>
          <w:szCs w:val="21"/>
          <w:highlight w:val="none"/>
        </w:rPr>
      </w:pPr>
    </w:p>
    <w:p w14:paraId="173F0362">
      <w:pPr>
        <w:spacing w:line="273" w:lineRule="auto"/>
        <w:rPr>
          <w:rFonts w:hint="eastAsia" w:ascii="宋体" w:hAnsi="宋体" w:eastAsia="宋体" w:cs="宋体"/>
          <w:color w:val="auto"/>
          <w:sz w:val="21"/>
          <w:szCs w:val="21"/>
          <w:highlight w:val="none"/>
        </w:rPr>
      </w:pPr>
    </w:p>
    <w:p w14:paraId="5BDB08DB">
      <w:pPr>
        <w:autoSpaceDE w:val="0"/>
        <w:autoSpaceDN w:val="0"/>
        <w:ind w:firstLine="0" w:firstLineChars="0"/>
        <w:rPr>
          <w:rFonts w:hint="eastAsia" w:hAnsi="宋体" w:cs="宋体"/>
          <w:bCs/>
          <w:color w:val="auto"/>
          <w:szCs w:val="21"/>
          <w:highlight w:val="none"/>
        </w:rPr>
      </w:pPr>
      <w:r>
        <w:rPr>
          <w:rFonts w:hint="eastAsia" w:hAnsi="宋体" w:cs="宋体"/>
          <w:bCs/>
          <w:color w:val="auto"/>
          <w:szCs w:val="21"/>
          <w:highlight w:val="none"/>
        </w:rPr>
        <w:t>致：</w:t>
      </w:r>
      <w:r>
        <w:rPr>
          <w:rFonts w:hint="eastAsia" w:hAnsi="宋体" w:cs="宋体"/>
          <w:bCs/>
          <w:color w:val="auto"/>
          <w:szCs w:val="21"/>
          <w:highlight w:val="none"/>
          <w:u w:val="single"/>
        </w:rPr>
        <w:t xml:space="preserve">    (采购人、采购代理机构)    </w:t>
      </w:r>
    </w:p>
    <w:p w14:paraId="69A504B9">
      <w:pPr>
        <w:autoSpaceDE w:val="0"/>
        <w:autoSpaceDN w:val="0"/>
        <w:ind w:firstLine="420"/>
        <w:rPr>
          <w:rFonts w:hint="eastAsia" w:hAnsi="宋体" w:cs="宋体"/>
          <w:bCs/>
          <w:color w:val="auto"/>
          <w:szCs w:val="21"/>
          <w:highlight w:val="none"/>
        </w:rPr>
      </w:pPr>
      <w:r>
        <w:rPr>
          <w:rFonts w:hint="eastAsia" w:hAnsi="宋体" w:cs="宋体"/>
          <w:bCs/>
          <w:color w:val="auto"/>
          <w:szCs w:val="21"/>
          <w:highlight w:val="none"/>
        </w:rPr>
        <w:t>我单位(公司)参与</w:t>
      </w:r>
      <w:r>
        <w:rPr>
          <w:rFonts w:hint="eastAsia" w:hAnsi="宋体" w:cs="宋体"/>
          <w:bCs/>
          <w:color w:val="auto"/>
          <w:szCs w:val="21"/>
          <w:highlight w:val="none"/>
          <w:u w:val="single"/>
        </w:rPr>
        <w:t xml:space="preserve">    (采购项目名称  项目编号)    </w:t>
      </w:r>
      <w:r>
        <w:rPr>
          <w:rFonts w:hint="eastAsia" w:hAnsi="宋体" w:cs="宋体"/>
          <w:bCs/>
          <w:color w:val="auto"/>
          <w:szCs w:val="21"/>
          <w:highlight w:val="none"/>
        </w:rPr>
        <w:t>采购项目的政府采购活动，现承诺如下：</w:t>
      </w:r>
    </w:p>
    <w:p w14:paraId="6EB49A4D">
      <w:pPr>
        <w:autoSpaceDE w:val="0"/>
        <w:autoSpaceDN w:val="0"/>
        <w:ind w:firstLine="420"/>
        <w:rPr>
          <w:rFonts w:hint="eastAsia" w:hAnsi="宋体" w:cs="宋体"/>
          <w:bCs/>
          <w:color w:val="auto"/>
          <w:szCs w:val="21"/>
          <w:highlight w:val="none"/>
        </w:rPr>
      </w:pPr>
      <w:r>
        <w:rPr>
          <w:rFonts w:hint="eastAsia" w:hAnsi="宋体" w:cs="宋体"/>
          <w:bCs/>
          <w:color w:val="auto"/>
          <w:szCs w:val="21"/>
          <w:highlight w:val="none"/>
        </w:rPr>
        <w:t>1.具有良好的商业信誉和健全的财务会计制度；</w:t>
      </w:r>
    </w:p>
    <w:p w14:paraId="710CA66A">
      <w:pPr>
        <w:autoSpaceDE w:val="0"/>
        <w:autoSpaceDN w:val="0"/>
        <w:ind w:firstLine="420"/>
        <w:rPr>
          <w:rFonts w:hint="eastAsia" w:hAnsi="宋体" w:cs="宋体"/>
          <w:bCs/>
          <w:color w:val="auto"/>
          <w:szCs w:val="21"/>
          <w:highlight w:val="none"/>
        </w:rPr>
      </w:pPr>
      <w:r>
        <w:rPr>
          <w:rFonts w:hint="eastAsia" w:hAnsi="宋体" w:cs="宋体"/>
          <w:bCs/>
          <w:color w:val="auto"/>
          <w:szCs w:val="21"/>
          <w:highlight w:val="none"/>
        </w:rPr>
        <w:t>2.具有依法纳税的良好记录；</w:t>
      </w:r>
    </w:p>
    <w:p w14:paraId="609650B6">
      <w:pPr>
        <w:autoSpaceDE w:val="0"/>
        <w:autoSpaceDN w:val="0"/>
        <w:ind w:firstLine="420"/>
        <w:rPr>
          <w:rFonts w:hint="eastAsia" w:hAnsi="宋体" w:cs="宋体"/>
          <w:bCs/>
          <w:color w:val="auto"/>
          <w:szCs w:val="21"/>
          <w:highlight w:val="none"/>
        </w:rPr>
      </w:pPr>
      <w:r>
        <w:rPr>
          <w:rFonts w:hint="eastAsia" w:hAnsi="宋体" w:cs="宋体"/>
          <w:bCs/>
          <w:color w:val="auto"/>
          <w:szCs w:val="21"/>
          <w:highlight w:val="none"/>
        </w:rPr>
        <w:t>3.具有依法缴纳社会保证金的良好记录；</w:t>
      </w:r>
    </w:p>
    <w:p w14:paraId="6EB020DF">
      <w:pPr>
        <w:autoSpaceDE w:val="0"/>
        <w:autoSpaceDN w:val="0"/>
        <w:ind w:firstLine="420"/>
        <w:rPr>
          <w:rFonts w:hint="eastAsia" w:hAnsi="宋体" w:cs="宋体"/>
          <w:bCs/>
          <w:color w:val="auto"/>
          <w:szCs w:val="21"/>
          <w:highlight w:val="none"/>
        </w:rPr>
      </w:pPr>
      <w:r>
        <w:rPr>
          <w:rFonts w:hint="eastAsia" w:hAnsi="宋体" w:cs="宋体"/>
          <w:bCs/>
          <w:color w:val="auto"/>
          <w:szCs w:val="21"/>
          <w:highlight w:val="none"/>
        </w:rPr>
        <w:t>我方在采购项目评审(评标)环节结束后，随时接受采购人、采购代理机构的检查验证，配合提供相关证明材料，证明符合《中华人民共和国政府采购法》规定的</w:t>
      </w:r>
      <w:r>
        <w:rPr>
          <w:rFonts w:hint="eastAsia" w:hAnsi="宋体" w:cs="宋体"/>
          <w:bCs/>
          <w:color w:val="auto"/>
          <w:szCs w:val="21"/>
          <w:highlight w:val="none"/>
          <w:lang w:eastAsia="zh-CN"/>
        </w:rPr>
        <w:t>投标人</w:t>
      </w:r>
      <w:r>
        <w:rPr>
          <w:rFonts w:hint="eastAsia" w:hAnsi="宋体" w:cs="宋体"/>
          <w:bCs/>
          <w:color w:val="auto"/>
          <w:szCs w:val="21"/>
          <w:highlight w:val="none"/>
        </w:rPr>
        <w:t>基本资格条件。</w:t>
      </w:r>
    </w:p>
    <w:p w14:paraId="67C6F16E">
      <w:pPr>
        <w:autoSpaceDE w:val="0"/>
        <w:autoSpaceDN w:val="0"/>
        <w:ind w:firstLine="420"/>
        <w:rPr>
          <w:rFonts w:hint="eastAsia" w:hAnsi="宋体" w:cs="宋体"/>
          <w:bCs/>
          <w:color w:val="auto"/>
          <w:szCs w:val="21"/>
          <w:highlight w:val="none"/>
        </w:rPr>
      </w:pPr>
      <w:r>
        <w:rPr>
          <w:rFonts w:hint="eastAsia" w:hAnsi="宋体" w:cs="宋体"/>
          <w:bCs/>
          <w:color w:val="auto"/>
          <w:szCs w:val="21"/>
          <w:highlight w:val="none"/>
        </w:rPr>
        <w:t>我单位(公司)对上述承诺的真实性负责。如有虚假，将依法承担相应责任。</w:t>
      </w:r>
    </w:p>
    <w:p w14:paraId="7E92C0E1">
      <w:pPr>
        <w:autoSpaceDE w:val="0"/>
        <w:autoSpaceDN w:val="0"/>
        <w:ind w:firstLine="420"/>
        <w:rPr>
          <w:rFonts w:hint="eastAsia" w:hAnsi="宋体" w:cs="宋体"/>
          <w:bCs/>
          <w:color w:val="auto"/>
          <w:szCs w:val="21"/>
          <w:highlight w:val="none"/>
        </w:rPr>
      </w:pPr>
      <w:r>
        <w:rPr>
          <w:rFonts w:hint="eastAsia" w:hAnsi="宋体" w:cs="宋体"/>
          <w:bCs/>
          <w:color w:val="auto"/>
          <w:szCs w:val="21"/>
          <w:highlight w:val="none"/>
        </w:rPr>
        <w:t>特此承诺。</w:t>
      </w:r>
    </w:p>
    <w:p w14:paraId="282C82E4">
      <w:pPr>
        <w:autoSpaceDE w:val="0"/>
        <w:autoSpaceDN w:val="0"/>
        <w:ind w:firstLine="420"/>
        <w:rPr>
          <w:rFonts w:hint="eastAsia" w:hAnsi="宋体" w:cs="宋体"/>
          <w:bCs/>
          <w:color w:val="auto"/>
          <w:szCs w:val="21"/>
          <w:highlight w:val="none"/>
        </w:rPr>
      </w:pPr>
    </w:p>
    <w:p w14:paraId="50798DAE">
      <w:pPr>
        <w:autoSpaceDE w:val="0"/>
        <w:autoSpaceDN w:val="0"/>
        <w:ind w:firstLine="420"/>
        <w:rPr>
          <w:rFonts w:hint="eastAsia" w:hAnsi="宋体" w:cs="宋体"/>
          <w:bCs/>
          <w:color w:val="auto"/>
          <w:szCs w:val="21"/>
          <w:highlight w:val="none"/>
        </w:rPr>
      </w:pPr>
    </w:p>
    <w:p w14:paraId="398B0C30">
      <w:pPr>
        <w:autoSpaceDE w:val="0"/>
        <w:autoSpaceDN w:val="0"/>
        <w:ind w:firstLine="420"/>
        <w:rPr>
          <w:rFonts w:hint="eastAsia" w:hAnsi="宋体" w:cs="宋体"/>
          <w:bCs/>
          <w:color w:val="auto"/>
          <w:szCs w:val="21"/>
          <w:highlight w:val="none"/>
        </w:rPr>
      </w:pPr>
    </w:p>
    <w:p w14:paraId="02D093A3">
      <w:pPr>
        <w:autoSpaceDE w:val="0"/>
        <w:autoSpaceDN w:val="0"/>
        <w:ind w:firstLine="420"/>
        <w:rPr>
          <w:rFonts w:hint="eastAsia" w:hAnsi="宋体" w:cs="宋体"/>
          <w:bCs/>
          <w:color w:val="auto"/>
          <w:szCs w:val="21"/>
          <w:highlight w:val="none"/>
        </w:rPr>
      </w:pPr>
    </w:p>
    <w:p w14:paraId="527200A2">
      <w:pPr>
        <w:autoSpaceDE w:val="0"/>
        <w:autoSpaceDN w:val="0"/>
        <w:ind w:firstLine="420"/>
        <w:rPr>
          <w:rFonts w:hint="eastAsia" w:hAnsi="宋体" w:cs="宋体"/>
          <w:bCs/>
          <w:color w:val="auto"/>
          <w:szCs w:val="21"/>
          <w:highlight w:val="none"/>
        </w:rPr>
      </w:pPr>
    </w:p>
    <w:p w14:paraId="59E960F3">
      <w:pPr>
        <w:autoSpaceDE w:val="0"/>
        <w:autoSpaceDN w:val="0"/>
        <w:ind w:firstLine="420"/>
        <w:rPr>
          <w:rFonts w:hint="eastAsia" w:hAnsi="宋体" w:cs="宋体"/>
          <w:bCs/>
          <w:color w:val="auto"/>
          <w:szCs w:val="21"/>
          <w:highlight w:val="none"/>
        </w:rPr>
      </w:pPr>
    </w:p>
    <w:p w14:paraId="2D4EBCF3">
      <w:pPr>
        <w:autoSpaceDE w:val="0"/>
        <w:autoSpaceDN w:val="0"/>
        <w:ind w:firstLine="420"/>
        <w:rPr>
          <w:rFonts w:hint="eastAsia" w:hAnsi="宋体" w:cs="宋体"/>
          <w:bCs/>
          <w:color w:val="auto"/>
          <w:szCs w:val="21"/>
          <w:highlight w:val="none"/>
        </w:rPr>
      </w:pPr>
    </w:p>
    <w:p w14:paraId="1219A86B">
      <w:pPr>
        <w:autoSpaceDE w:val="0"/>
        <w:autoSpaceDN w:val="0"/>
        <w:ind w:firstLine="420"/>
        <w:rPr>
          <w:rFonts w:hint="eastAsia" w:hAnsi="宋体" w:cs="宋体"/>
          <w:bCs/>
          <w:color w:val="auto"/>
          <w:szCs w:val="21"/>
          <w:highlight w:val="none"/>
        </w:rPr>
      </w:pPr>
    </w:p>
    <w:p w14:paraId="0BA568BC">
      <w:pPr>
        <w:autoSpaceDE w:val="0"/>
        <w:autoSpaceDN w:val="0"/>
        <w:ind w:firstLine="420"/>
        <w:rPr>
          <w:rFonts w:hint="eastAsia" w:hAnsi="宋体" w:cs="宋体"/>
          <w:bCs/>
          <w:color w:val="auto"/>
          <w:szCs w:val="21"/>
          <w:highlight w:val="none"/>
        </w:rPr>
      </w:pPr>
    </w:p>
    <w:p w14:paraId="195B5BB2">
      <w:pPr>
        <w:autoSpaceDE w:val="0"/>
        <w:autoSpaceDN w:val="0"/>
        <w:ind w:firstLine="420"/>
        <w:rPr>
          <w:rFonts w:hint="eastAsia" w:hAnsi="宋体" w:cs="宋体"/>
          <w:bCs/>
          <w:color w:val="auto"/>
          <w:szCs w:val="21"/>
          <w:highlight w:val="none"/>
        </w:rPr>
      </w:pPr>
    </w:p>
    <w:p w14:paraId="48B52280">
      <w:pPr>
        <w:autoSpaceDE w:val="0"/>
        <w:autoSpaceDN w:val="0"/>
        <w:ind w:firstLine="3150" w:firstLineChars="1500"/>
        <w:rPr>
          <w:rFonts w:hint="eastAsia" w:hAnsi="宋体" w:cs="宋体"/>
          <w:bCs/>
          <w:color w:val="auto"/>
          <w:szCs w:val="21"/>
          <w:highlight w:val="none"/>
        </w:rPr>
      </w:pPr>
      <w:r>
        <w:rPr>
          <w:rFonts w:hint="eastAsia" w:hAnsi="宋体" w:cs="宋体"/>
          <w:bCs/>
          <w:color w:val="auto"/>
          <w:szCs w:val="21"/>
          <w:highlight w:val="none"/>
        </w:rPr>
        <w:t>盖章：</w:t>
      </w:r>
    </w:p>
    <w:p w14:paraId="10DF2EA6">
      <w:pPr>
        <w:autoSpaceDE w:val="0"/>
        <w:autoSpaceDN w:val="0"/>
        <w:ind w:firstLine="3150" w:firstLineChars="1500"/>
        <w:rPr>
          <w:rFonts w:hint="eastAsia" w:hAnsi="宋体" w:cs="宋体"/>
          <w:bCs/>
          <w:color w:val="auto"/>
          <w:szCs w:val="21"/>
          <w:highlight w:val="none"/>
        </w:rPr>
      </w:pPr>
      <w:r>
        <w:rPr>
          <w:rFonts w:hint="eastAsia" w:hAnsi="宋体" w:cs="宋体"/>
          <w:bCs/>
          <w:color w:val="auto"/>
          <w:szCs w:val="21"/>
          <w:highlight w:val="none"/>
        </w:rPr>
        <w:t>签字：</w:t>
      </w:r>
    </w:p>
    <w:p w14:paraId="241E8134">
      <w:pPr>
        <w:autoSpaceDE w:val="0"/>
        <w:autoSpaceDN w:val="0"/>
        <w:ind w:firstLine="3150" w:firstLineChars="1500"/>
        <w:rPr>
          <w:rFonts w:hint="eastAsia" w:hAnsi="宋体" w:cs="宋体"/>
          <w:bCs/>
          <w:color w:val="auto"/>
          <w:szCs w:val="21"/>
          <w:highlight w:val="none"/>
        </w:rPr>
      </w:pPr>
      <w:r>
        <w:rPr>
          <w:rFonts w:hint="eastAsia" w:hAnsi="宋体" w:cs="宋体"/>
          <w:bCs/>
          <w:color w:val="auto"/>
          <w:szCs w:val="21"/>
          <w:highlight w:val="none"/>
        </w:rPr>
        <w:t>日期：</w:t>
      </w:r>
    </w:p>
    <w:p w14:paraId="0B2770CB">
      <w:pPr>
        <w:autoSpaceDE w:val="0"/>
        <w:autoSpaceDN w:val="0"/>
        <w:adjustRightInd w:val="0"/>
        <w:jc w:val="center"/>
        <w:rPr>
          <w:rFonts w:hint="eastAsia" w:ascii="宋体" w:hAnsi="宋体" w:eastAsia="宋体" w:cs="宋体"/>
          <w:b/>
          <w:color w:val="auto"/>
          <w:kern w:val="0"/>
          <w:sz w:val="32"/>
          <w:szCs w:val="32"/>
          <w:highlight w:val="none"/>
        </w:rPr>
      </w:pPr>
      <w:r>
        <w:rPr>
          <w:rFonts w:hint="eastAsia" w:ascii="宋体" w:hAnsi="宋体" w:eastAsia="宋体" w:cs="宋体"/>
          <w:color w:val="auto"/>
          <w:sz w:val="20"/>
          <w:szCs w:val="20"/>
          <w:highlight w:val="none"/>
        </w:rPr>
        <w:br w:type="page"/>
      </w:r>
      <w:bookmarkStart w:id="149" w:name="_Toc252195897"/>
      <w:bookmarkStart w:id="150" w:name="_Toc22523"/>
      <w:bookmarkStart w:id="151" w:name="_Toc323749848"/>
      <w:bookmarkStart w:id="152" w:name="_Toc423327245"/>
      <w:r>
        <w:rPr>
          <w:rFonts w:hint="eastAsia" w:ascii="宋体" w:hAnsi="宋体" w:eastAsia="宋体" w:cs="宋体"/>
          <w:b/>
          <w:color w:val="auto"/>
          <w:kern w:val="0"/>
          <w:sz w:val="32"/>
          <w:szCs w:val="32"/>
          <w:highlight w:val="none"/>
        </w:rPr>
        <w:t>（</w:t>
      </w:r>
      <w:r>
        <w:rPr>
          <w:rFonts w:hint="eastAsia" w:ascii="宋体" w:hAnsi="宋体" w:eastAsia="宋体" w:cs="宋体"/>
          <w:b/>
          <w:color w:val="auto"/>
          <w:kern w:val="0"/>
          <w:sz w:val="32"/>
          <w:szCs w:val="32"/>
          <w:highlight w:val="none"/>
          <w:lang w:val="en-US" w:eastAsia="zh-CN"/>
        </w:rPr>
        <w:t>三</w:t>
      </w:r>
      <w:r>
        <w:rPr>
          <w:rFonts w:hint="eastAsia" w:ascii="宋体" w:hAnsi="宋体" w:eastAsia="宋体" w:cs="宋体"/>
          <w:b/>
          <w:color w:val="auto"/>
          <w:kern w:val="0"/>
          <w:sz w:val="32"/>
          <w:szCs w:val="32"/>
          <w:highlight w:val="none"/>
        </w:rPr>
        <w:t>）投标保证金</w:t>
      </w:r>
    </w:p>
    <w:p w14:paraId="740003D7">
      <w:pPr>
        <w:autoSpaceDE w:val="0"/>
        <w:autoSpaceDN w:val="0"/>
        <w:adjustRightInd w:val="0"/>
        <w:jc w:val="center"/>
        <w:rPr>
          <w:rFonts w:hint="eastAsia" w:ascii="宋体" w:hAnsi="宋体" w:eastAsia="宋体" w:cs="宋体"/>
          <w:b/>
          <w:color w:val="auto"/>
          <w:kern w:val="0"/>
          <w:sz w:val="32"/>
          <w:szCs w:val="32"/>
          <w:highlight w:val="none"/>
        </w:rPr>
      </w:pPr>
    </w:p>
    <w:p w14:paraId="5A7E509A">
      <w:pPr>
        <w:bidi w:val="0"/>
        <w:jc w:val="center"/>
        <w:rPr>
          <w:rFonts w:hint="default"/>
          <w:color w:val="auto"/>
          <w:highlight w:val="none"/>
          <w:lang w:val="en-US" w:eastAsia="zh-CN"/>
        </w:rPr>
      </w:pPr>
      <w:r>
        <w:rPr>
          <w:rFonts w:hint="eastAsia"/>
          <w:color w:val="auto"/>
          <w:highlight w:val="none"/>
          <w:lang w:val="en-US" w:eastAsia="zh-CN"/>
        </w:rPr>
        <w:t>本项目不适用</w:t>
      </w:r>
    </w:p>
    <w:p w14:paraId="38054029">
      <w:pPr>
        <w:bidi w:val="0"/>
        <w:rPr>
          <w:rFonts w:hint="eastAsia"/>
          <w:color w:val="auto"/>
          <w:highlight w:val="none"/>
          <w:lang w:val="en-US" w:eastAsia="zh-CN"/>
        </w:rPr>
      </w:pPr>
    </w:p>
    <w:p w14:paraId="00660BF1">
      <w:pPr>
        <w:bidi w:val="0"/>
        <w:rPr>
          <w:rFonts w:hint="eastAsia"/>
          <w:color w:val="auto"/>
          <w:highlight w:val="none"/>
          <w:lang w:val="en-US" w:eastAsia="zh-CN"/>
        </w:rPr>
      </w:pPr>
    </w:p>
    <w:p w14:paraId="20FFD099">
      <w:pPr>
        <w:bidi w:val="0"/>
        <w:rPr>
          <w:rFonts w:hint="eastAsia"/>
          <w:color w:val="auto"/>
          <w:highlight w:val="none"/>
          <w:lang w:val="en-US" w:eastAsia="zh-CN"/>
        </w:rPr>
      </w:pPr>
    </w:p>
    <w:p w14:paraId="5EB5B455">
      <w:pPr>
        <w:bidi w:val="0"/>
        <w:rPr>
          <w:rFonts w:hint="eastAsia"/>
          <w:color w:val="auto"/>
          <w:highlight w:val="none"/>
          <w:lang w:val="en-US" w:eastAsia="zh-CN"/>
        </w:rPr>
      </w:pPr>
    </w:p>
    <w:p w14:paraId="5BAA424B">
      <w:pPr>
        <w:bidi w:val="0"/>
        <w:rPr>
          <w:rFonts w:hint="eastAsia"/>
          <w:color w:val="auto"/>
          <w:highlight w:val="none"/>
          <w:lang w:val="en-US" w:eastAsia="zh-CN"/>
        </w:rPr>
      </w:pPr>
    </w:p>
    <w:p w14:paraId="3132058F">
      <w:pPr>
        <w:bidi w:val="0"/>
        <w:rPr>
          <w:rFonts w:hint="eastAsia"/>
          <w:color w:val="auto"/>
          <w:highlight w:val="none"/>
          <w:lang w:val="en-US" w:eastAsia="zh-CN"/>
        </w:rPr>
      </w:pPr>
    </w:p>
    <w:p w14:paraId="23033822">
      <w:pPr>
        <w:bidi w:val="0"/>
        <w:rPr>
          <w:rFonts w:hint="eastAsia"/>
          <w:color w:val="auto"/>
          <w:highlight w:val="none"/>
          <w:lang w:val="en-US" w:eastAsia="zh-CN"/>
        </w:rPr>
      </w:pPr>
    </w:p>
    <w:p w14:paraId="3AAFD38D">
      <w:pPr>
        <w:bidi w:val="0"/>
        <w:rPr>
          <w:rFonts w:hint="eastAsia"/>
          <w:color w:val="auto"/>
          <w:highlight w:val="none"/>
          <w:lang w:val="en-US" w:eastAsia="zh-CN"/>
        </w:rPr>
      </w:pPr>
    </w:p>
    <w:p w14:paraId="79BD5294">
      <w:pPr>
        <w:bidi w:val="0"/>
        <w:rPr>
          <w:rFonts w:hint="eastAsia"/>
          <w:color w:val="auto"/>
          <w:highlight w:val="none"/>
          <w:lang w:val="en-US" w:eastAsia="zh-CN"/>
        </w:rPr>
      </w:pPr>
    </w:p>
    <w:p w14:paraId="72FD9A92">
      <w:pPr>
        <w:bidi w:val="0"/>
        <w:rPr>
          <w:rFonts w:hint="eastAsia"/>
          <w:color w:val="auto"/>
          <w:highlight w:val="none"/>
          <w:lang w:val="en-US" w:eastAsia="zh-CN"/>
        </w:rPr>
      </w:pPr>
    </w:p>
    <w:p w14:paraId="68C2A439">
      <w:pPr>
        <w:bidi w:val="0"/>
        <w:rPr>
          <w:rFonts w:hint="eastAsia"/>
          <w:color w:val="auto"/>
          <w:highlight w:val="none"/>
          <w:lang w:val="en-US" w:eastAsia="zh-CN"/>
        </w:rPr>
      </w:pPr>
    </w:p>
    <w:p w14:paraId="2A16956B">
      <w:pPr>
        <w:bidi w:val="0"/>
        <w:rPr>
          <w:rFonts w:hint="eastAsia"/>
          <w:color w:val="auto"/>
          <w:highlight w:val="none"/>
          <w:lang w:val="en-US" w:eastAsia="zh-CN"/>
        </w:rPr>
      </w:pPr>
    </w:p>
    <w:p w14:paraId="63AE03EA">
      <w:pPr>
        <w:bidi w:val="0"/>
        <w:rPr>
          <w:rFonts w:hint="eastAsia"/>
          <w:color w:val="auto"/>
          <w:highlight w:val="none"/>
          <w:lang w:val="en-US" w:eastAsia="zh-CN"/>
        </w:rPr>
      </w:pPr>
    </w:p>
    <w:p w14:paraId="3E90AAA0">
      <w:pPr>
        <w:bidi w:val="0"/>
        <w:rPr>
          <w:rFonts w:hint="eastAsia"/>
          <w:color w:val="auto"/>
          <w:highlight w:val="none"/>
          <w:lang w:val="en-US" w:eastAsia="zh-CN"/>
        </w:rPr>
      </w:pPr>
    </w:p>
    <w:p w14:paraId="7B77B1C4">
      <w:pPr>
        <w:bidi w:val="0"/>
        <w:rPr>
          <w:rFonts w:hint="eastAsia"/>
          <w:color w:val="auto"/>
          <w:highlight w:val="none"/>
          <w:lang w:val="en-US" w:eastAsia="zh-CN"/>
        </w:rPr>
      </w:pPr>
    </w:p>
    <w:p w14:paraId="5E366ECF">
      <w:pPr>
        <w:bidi w:val="0"/>
        <w:rPr>
          <w:rFonts w:hint="eastAsia"/>
          <w:color w:val="auto"/>
          <w:highlight w:val="none"/>
          <w:lang w:val="en-US" w:eastAsia="zh-CN"/>
        </w:rPr>
      </w:pPr>
    </w:p>
    <w:p w14:paraId="67CF7CAB">
      <w:pPr>
        <w:bidi w:val="0"/>
        <w:rPr>
          <w:rFonts w:hint="eastAsia"/>
          <w:color w:val="auto"/>
          <w:highlight w:val="none"/>
          <w:lang w:val="en-US" w:eastAsia="zh-CN"/>
        </w:rPr>
      </w:pPr>
    </w:p>
    <w:p w14:paraId="5B7149E6">
      <w:pPr>
        <w:bidi w:val="0"/>
        <w:rPr>
          <w:rFonts w:hint="eastAsia"/>
          <w:color w:val="auto"/>
          <w:highlight w:val="none"/>
          <w:lang w:val="en-US" w:eastAsia="zh-CN"/>
        </w:rPr>
      </w:pPr>
    </w:p>
    <w:p w14:paraId="3D32208D">
      <w:pPr>
        <w:bidi w:val="0"/>
        <w:rPr>
          <w:rFonts w:hint="eastAsia"/>
          <w:color w:val="auto"/>
          <w:highlight w:val="none"/>
          <w:lang w:val="en-US" w:eastAsia="zh-CN"/>
        </w:rPr>
      </w:pPr>
    </w:p>
    <w:p w14:paraId="73FDB18A">
      <w:pPr>
        <w:bidi w:val="0"/>
        <w:rPr>
          <w:rFonts w:hint="eastAsia"/>
          <w:color w:val="auto"/>
          <w:highlight w:val="none"/>
          <w:lang w:val="en-US" w:eastAsia="zh-CN"/>
        </w:rPr>
      </w:pPr>
    </w:p>
    <w:p w14:paraId="06970482">
      <w:pPr>
        <w:bidi w:val="0"/>
        <w:rPr>
          <w:rFonts w:hint="eastAsia"/>
          <w:color w:val="auto"/>
          <w:highlight w:val="none"/>
          <w:lang w:val="en-US" w:eastAsia="zh-CN"/>
        </w:rPr>
      </w:pPr>
    </w:p>
    <w:p w14:paraId="332D9C49">
      <w:pPr>
        <w:bidi w:val="0"/>
        <w:rPr>
          <w:rFonts w:hint="eastAsia"/>
          <w:color w:val="auto"/>
          <w:highlight w:val="none"/>
          <w:lang w:val="en-US" w:eastAsia="zh-CN"/>
        </w:rPr>
      </w:pPr>
    </w:p>
    <w:p w14:paraId="453423B7">
      <w:pPr>
        <w:bidi w:val="0"/>
        <w:rPr>
          <w:rFonts w:hint="eastAsia"/>
          <w:color w:val="auto"/>
          <w:highlight w:val="none"/>
          <w:lang w:val="en-US" w:eastAsia="zh-CN"/>
        </w:rPr>
      </w:pPr>
    </w:p>
    <w:p w14:paraId="43BBE3AC">
      <w:pPr>
        <w:bidi w:val="0"/>
        <w:rPr>
          <w:rFonts w:hint="eastAsia"/>
          <w:color w:val="auto"/>
          <w:highlight w:val="none"/>
          <w:lang w:val="en-US" w:eastAsia="zh-CN"/>
        </w:rPr>
      </w:pPr>
    </w:p>
    <w:p w14:paraId="391789A3">
      <w:pPr>
        <w:bidi w:val="0"/>
        <w:rPr>
          <w:rFonts w:hint="eastAsia"/>
          <w:color w:val="auto"/>
          <w:highlight w:val="none"/>
          <w:lang w:val="en-US" w:eastAsia="zh-CN"/>
        </w:rPr>
      </w:pPr>
    </w:p>
    <w:p w14:paraId="3390ABDC">
      <w:pPr>
        <w:bidi w:val="0"/>
        <w:rPr>
          <w:rFonts w:hint="eastAsia"/>
          <w:color w:val="auto"/>
          <w:highlight w:val="none"/>
          <w:lang w:val="en-US" w:eastAsia="zh-CN"/>
        </w:rPr>
      </w:pPr>
    </w:p>
    <w:p w14:paraId="235E12FE">
      <w:pPr>
        <w:bidi w:val="0"/>
        <w:rPr>
          <w:rFonts w:hint="eastAsia"/>
          <w:color w:val="auto"/>
          <w:highlight w:val="none"/>
          <w:lang w:val="en-US" w:eastAsia="zh-CN"/>
        </w:rPr>
      </w:pPr>
    </w:p>
    <w:p w14:paraId="524C4FA6">
      <w:pPr>
        <w:bidi w:val="0"/>
        <w:rPr>
          <w:rFonts w:hint="eastAsia"/>
          <w:color w:val="auto"/>
          <w:highlight w:val="none"/>
          <w:lang w:val="en-US" w:eastAsia="zh-CN"/>
        </w:rPr>
      </w:pPr>
    </w:p>
    <w:p w14:paraId="4586FFB8">
      <w:pPr>
        <w:bidi w:val="0"/>
        <w:rPr>
          <w:rFonts w:hint="eastAsia"/>
          <w:color w:val="auto"/>
          <w:highlight w:val="none"/>
          <w:lang w:val="en-US" w:eastAsia="zh-CN"/>
        </w:rPr>
      </w:pPr>
    </w:p>
    <w:p w14:paraId="09FDB926">
      <w:pPr>
        <w:spacing w:line="360" w:lineRule="exact"/>
        <w:jc w:val="center"/>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t>（</w:t>
      </w:r>
      <w:r>
        <w:rPr>
          <w:rFonts w:hint="eastAsia" w:ascii="宋体" w:hAnsi="宋体" w:eastAsia="宋体" w:cs="宋体"/>
          <w:b/>
          <w:color w:val="auto"/>
          <w:kern w:val="0"/>
          <w:sz w:val="32"/>
          <w:szCs w:val="32"/>
          <w:highlight w:val="none"/>
          <w:lang w:val="en-US" w:eastAsia="zh-CN"/>
        </w:rPr>
        <w:t>四</w:t>
      </w:r>
      <w:r>
        <w:rPr>
          <w:rFonts w:hint="eastAsia" w:ascii="宋体" w:hAnsi="宋体" w:eastAsia="宋体" w:cs="宋体"/>
          <w:b/>
          <w:color w:val="auto"/>
          <w:kern w:val="0"/>
          <w:sz w:val="32"/>
          <w:szCs w:val="32"/>
          <w:highlight w:val="none"/>
        </w:rPr>
        <w:t>）参加政府采购活动前3年内在经营活动中没有重大违法记录的书面声明</w:t>
      </w:r>
    </w:p>
    <w:p w14:paraId="4352E8E5">
      <w:pPr>
        <w:spacing w:line="360" w:lineRule="exact"/>
        <w:jc w:val="center"/>
        <w:rPr>
          <w:rFonts w:hint="eastAsia" w:ascii="宋体" w:hAnsi="宋体" w:eastAsia="宋体" w:cs="宋体"/>
          <w:b/>
          <w:color w:val="auto"/>
          <w:kern w:val="0"/>
          <w:sz w:val="32"/>
          <w:szCs w:val="32"/>
          <w:highlight w:val="none"/>
        </w:rPr>
      </w:pPr>
    </w:p>
    <w:p w14:paraId="3594A40C">
      <w:pPr>
        <w:spacing w:line="360" w:lineRule="exact"/>
        <w:jc w:val="center"/>
        <w:rPr>
          <w:rFonts w:hint="eastAsia" w:ascii="宋体" w:hAnsi="宋体" w:eastAsia="宋体" w:cs="宋体"/>
          <w:b/>
          <w:color w:val="auto"/>
          <w:kern w:val="0"/>
          <w:sz w:val="32"/>
          <w:szCs w:val="32"/>
          <w:highlight w:val="none"/>
        </w:rPr>
      </w:pPr>
    </w:p>
    <w:p w14:paraId="2A8D3021">
      <w:pPr>
        <w:spacing w:line="360" w:lineRule="exact"/>
        <w:jc w:val="center"/>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t>（格式自拟）</w:t>
      </w:r>
    </w:p>
    <w:p w14:paraId="7D188B44">
      <w:pPr>
        <w:spacing w:line="360" w:lineRule="exact"/>
        <w:jc w:val="center"/>
        <w:rPr>
          <w:rFonts w:hint="eastAsia" w:ascii="宋体" w:hAnsi="宋体" w:eastAsia="宋体" w:cs="宋体"/>
          <w:b/>
          <w:color w:val="auto"/>
          <w:kern w:val="0"/>
          <w:sz w:val="32"/>
          <w:szCs w:val="32"/>
          <w:highlight w:val="none"/>
        </w:rPr>
      </w:pPr>
    </w:p>
    <w:p w14:paraId="17A73EB9">
      <w:pPr>
        <w:spacing w:line="360" w:lineRule="exact"/>
        <w:jc w:val="center"/>
        <w:rPr>
          <w:rFonts w:hint="eastAsia" w:ascii="宋体" w:hAnsi="宋体" w:eastAsia="宋体" w:cs="宋体"/>
          <w:b/>
          <w:color w:val="auto"/>
          <w:sz w:val="32"/>
          <w:szCs w:val="32"/>
          <w:highlight w:val="none"/>
        </w:rPr>
      </w:pPr>
    </w:p>
    <w:p w14:paraId="6ADBB532">
      <w:pPr>
        <w:spacing w:line="360" w:lineRule="exact"/>
        <w:jc w:val="center"/>
        <w:rPr>
          <w:rFonts w:hint="eastAsia" w:ascii="宋体" w:hAnsi="宋体" w:eastAsia="宋体" w:cs="宋体"/>
          <w:b/>
          <w:color w:val="auto"/>
          <w:sz w:val="32"/>
          <w:szCs w:val="32"/>
          <w:highlight w:val="none"/>
        </w:rPr>
      </w:pPr>
    </w:p>
    <w:p w14:paraId="3D40DCAC">
      <w:pPr>
        <w:spacing w:line="360" w:lineRule="exact"/>
        <w:rPr>
          <w:rFonts w:hint="eastAsia" w:ascii="宋体" w:hAnsi="宋体" w:eastAsia="宋体" w:cs="宋体"/>
          <w:b/>
          <w:color w:val="auto"/>
          <w:sz w:val="32"/>
          <w:szCs w:val="32"/>
          <w:highlight w:val="none"/>
        </w:rPr>
      </w:pPr>
    </w:p>
    <w:p w14:paraId="625FA6A7">
      <w:pPr>
        <w:spacing w:line="360" w:lineRule="exact"/>
        <w:rPr>
          <w:rFonts w:hint="eastAsia" w:ascii="宋体" w:hAnsi="宋体" w:eastAsia="宋体" w:cs="宋体"/>
          <w:b/>
          <w:color w:val="auto"/>
          <w:sz w:val="32"/>
          <w:szCs w:val="32"/>
          <w:highlight w:val="none"/>
        </w:rPr>
      </w:pPr>
    </w:p>
    <w:p w14:paraId="43DC2043">
      <w:pPr>
        <w:spacing w:line="360" w:lineRule="exact"/>
        <w:rPr>
          <w:rFonts w:hint="eastAsia" w:ascii="宋体" w:hAnsi="宋体" w:eastAsia="宋体" w:cs="宋体"/>
          <w:b/>
          <w:color w:val="auto"/>
          <w:sz w:val="32"/>
          <w:szCs w:val="32"/>
          <w:highlight w:val="none"/>
        </w:rPr>
      </w:pPr>
    </w:p>
    <w:p w14:paraId="03808142">
      <w:pPr>
        <w:spacing w:line="360" w:lineRule="exact"/>
        <w:rPr>
          <w:rFonts w:hint="eastAsia" w:ascii="宋体" w:hAnsi="宋体" w:eastAsia="宋体" w:cs="宋体"/>
          <w:b/>
          <w:color w:val="auto"/>
          <w:sz w:val="32"/>
          <w:szCs w:val="32"/>
          <w:highlight w:val="none"/>
        </w:rPr>
      </w:pPr>
    </w:p>
    <w:p w14:paraId="03E30A6F">
      <w:pPr>
        <w:spacing w:line="360" w:lineRule="exact"/>
        <w:rPr>
          <w:rFonts w:hint="eastAsia" w:ascii="宋体" w:hAnsi="宋体" w:eastAsia="宋体" w:cs="宋体"/>
          <w:b/>
          <w:color w:val="auto"/>
          <w:sz w:val="32"/>
          <w:szCs w:val="32"/>
          <w:highlight w:val="none"/>
        </w:rPr>
      </w:pPr>
    </w:p>
    <w:p w14:paraId="35C1B971">
      <w:pPr>
        <w:spacing w:line="360" w:lineRule="exact"/>
        <w:rPr>
          <w:rFonts w:hint="eastAsia" w:ascii="宋体" w:hAnsi="宋体" w:eastAsia="宋体" w:cs="宋体"/>
          <w:b/>
          <w:color w:val="auto"/>
          <w:sz w:val="32"/>
          <w:szCs w:val="32"/>
          <w:highlight w:val="none"/>
        </w:rPr>
      </w:pPr>
    </w:p>
    <w:p w14:paraId="0B1C7860">
      <w:pPr>
        <w:spacing w:line="360" w:lineRule="exact"/>
        <w:rPr>
          <w:rFonts w:hint="eastAsia" w:ascii="宋体" w:hAnsi="宋体" w:eastAsia="宋体" w:cs="宋体"/>
          <w:b/>
          <w:color w:val="auto"/>
          <w:sz w:val="40"/>
          <w:szCs w:val="40"/>
          <w:highlight w:val="none"/>
        </w:rPr>
      </w:pPr>
    </w:p>
    <w:p w14:paraId="40917961">
      <w:pPr>
        <w:autoSpaceDE w:val="0"/>
        <w:autoSpaceDN w:val="0"/>
        <w:adjustRightInd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投标人名称全称：</w:t>
      </w:r>
    </w:p>
    <w:p w14:paraId="65DB0C52">
      <w:pPr>
        <w:autoSpaceDE w:val="0"/>
        <w:autoSpaceDN w:val="0"/>
        <w:adjustRightInd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投标人单位公章：</w:t>
      </w:r>
    </w:p>
    <w:p w14:paraId="544F4198">
      <w:pPr>
        <w:autoSpaceDE w:val="0"/>
        <w:autoSpaceDN w:val="0"/>
        <w:adjustRightInd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法定代表人或授权代理人签字：</w:t>
      </w:r>
    </w:p>
    <w:p w14:paraId="72E2AD7A">
      <w:pPr>
        <w:autoSpaceDE w:val="0"/>
        <w:autoSpaceDN w:val="0"/>
        <w:adjustRightInd w:val="0"/>
        <w:spacing w:line="360" w:lineRule="auto"/>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时间：二○二</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zh-CN"/>
        </w:rPr>
        <w:t>年</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zh-CN"/>
        </w:rPr>
        <w:t>月</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zh-CN"/>
        </w:rPr>
        <w:t>日</w:t>
      </w:r>
    </w:p>
    <w:p w14:paraId="709ACE16">
      <w:pPr>
        <w:bidi w:val="0"/>
        <w:rPr>
          <w:rFonts w:hint="eastAsia"/>
          <w:color w:val="auto"/>
          <w:highlight w:val="none"/>
          <w:lang w:val="en-US" w:eastAsia="zh-CN"/>
        </w:rPr>
      </w:pPr>
    </w:p>
    <w:p w14:paraId="35087528">
      <w:pPr>
        <w:bidi w:val="0"/>
        <w:rPr>
          <w:rFonts w:hint="eastAsia"/>
          <w:color w:val="auto"/>
          <w:highlight w:val="none"/>
          <w:lang w:val="en-US" w:eastAsia="zh-CN"/>
        </w:rPr>
      </w:pPr>
    </w:p>
    <w:p w14:paraId="2D52FEA2">
      <w:pPr>
        <w:bidi w:val="0"/>
        <w:rPr>
          <w:rFonts w:hint="eastAsia"/>
          <w:color w:val="auto"/>
          <w:highlight w:val="none"/>
          <w:lang w:val="en-US" w:eastAsia="zh-CN"/>
        </w:rPr>
      </w:pPr>
    </w:p>
    <w:p w14:paraId="1BD7EA51">
      <w:pPr>
        <w:bidi w:val="0"/>
        <w:rPr>
          <w:rFonts w:hint="eastAsia"/>
          <w:color w:val="auto"/>
          <w:highlight w:val="none"/>
          <w:lang w:val="en-US" w:eastAsia="zh-CN"/>
        </w:rPr>
      </w:pPr>
    </w:p>
    <w:p w14:paraId="01AA8FDC">
      <w:pPr>
        <w:bidi w:val="0"/>
        <w:rPr>
          <w:rFonts w:hint="eastAsia"/>
          <w:color w:val="auto"/>
          <w:highlight w:val="none"/>
          <w:lang w:val="en-US" w:eastAsia="zh-CN"/>
        </w:rPr>
      </w:pPr>
    </w:p>
    <w:p w14:paraId="0D125E80">
      <w:pPr>
        <w:bidi w:val="0"/>
        <w:rPr>
          <w:rFonts w:hint="eastAsia"/>
          <w:color w:val="auto"/>
          <w:highlight w:val="none"/>
          <w:lang w:val="en-US" w:eastAsia="zh-CN"/>
        </w:rPr>
      </w:pPr>
    </w:p>
    <w:p w14:paraId="26B96D1D">
      <w:pPr>
        <w:bidi w:val="0"/>
        <w:rPr>
          <w:rFonts w:hint="eastAsia"/>
          <w:color w:val="auto"/>
          <w:highlight w:val="none"/>
          <w:lang w:val="en-US" w:eastAsia="zh-CN"/>
        </w:rPr>
      </w:pPr>
    </w:p>
    <w:p w14:paraId="126FB09D">
      <w:pPr>
        <w:bidi w:val="0"/>
        <w:rPr>
          <w:rFonts w:hint="eastAsia"/>
          <w:color w:val="auto"/>
          <w:highlight w:val="none"/>
          <w:lang w:val="en-US" w:eastAsia="zh-CN"/>
        </w:rPr>
      </w:pPr>
    </w:p>
    <w:p w14:paraId="4B86CF31">
      <w:pPr>
        <w:bidi w:val="0"/>
        <w:rPr>
          <w:rFonts w:hint="eastAsia"/>
          <w:color w:val="auto"/>
          <w:highlight w:val="none"/>
          <w:lang w:val="en-US" w:eastAsia="zh-CN"/>
        </w:rPr>
      </w:pPr>
    </w:p>
    <w:p w14:paraId="0AC8A580">
      <w:pPr>
        <w:bidi w:val="0"/>
        <w:rPr>
          <w:rFonts w:hint="eastAsia"/>
          <w:color w:val="auto"/>
          <w:highlight w:val="none"/>
          <w:lang w:val="en-US" w:eastAsia="zh-CN"/>
        </w:rPr>
      </w:pPr>
    </w:p>
    <w:p w14:paraId="7ED3B009">
      <w:pPr>
        <w:bidi w:val="0"/>
        <w:rPr>
          <w:rFonts w:hint="eastAsia"/>
          <w:color w:val="auto"/>
          <w:highlight w:val="none"/>
          <w:lang w:val="en-US" w:eastAsia="zh-CN"/>
        </w:rPr>
      </w:pPr>
    </w:p>
    <w:p w14:paraId="6EFE1999">
      <w:pPr>
        <w:bidi w:val="0"/>
        <w:rPr>
          <w:rFonts w:hint="eastAsia"/>
          <w:color w:val="auto"/>
          <w:highlight w:val="none"/>
          <w:lang w:val="en-US" w:eastAsia="zh-CN"/>
        </w:rPr>
      </w:pPr>
    </w:p>
    <w:p w14:paraId="0075F2B0">
      <w:pPr>
        <w:bidi w:val="0"/>
        <w:rPr>
          <w:rFonts w:hint="eastAsia"/>
          <w:color w:val="auto"/>
          <w:highlight w:val="none"/>
          <w:lang w:val="en-US" w:eastAsia="zh-CN"/>
        </w:rPr>
      </w:pPr>
    </w:p>
    <w:p w14:paraId="32B57C8C">
      <w:pPr>
        <w:bidi w:val="0"/>
        <w:rPr>
          <w:rFonts w:hint="eastAsia"/>
          <w:color w:val="auto"/>
          <w:highlight w:val="none"/>
          <w:lang w:val="en-US" w:eastAsia="zh-CN"/>
        </w:rPr>
      </w:pPr>
    </w:p>
    <w:p w14:paraId="2A5F75AC">
      <w:pPr>
        <w:bidi w:val="0"/>
        <w:rPr>
          <w:rFonts w:hint="eastAsia"/>
          <w:color w:val="auto"/>
          <w:highlight w:val="none"/>
          <w:lang w:val="en-US" w:eastAsia="zh-CN"/>
        </w:rPr>
      </w:pPr>
    </w:p>
    <w:p w14:paraId="1B0EE307">
      <w:pPr>
        <w:bidi w:val="0"/>
        <w:rPr>
          <w:rFonts w:hint="eastAsia"/>
          <w:color w:val="auto"/>
          <w:highlight w:val="none"/>
          <w:lang w:val="en-US" w:eastAsia="zh-CN"/>
        </w:rPr>
      </w:pPr>
    </w:p>
    <w:p w14:paraId="6B186F29">
      <w:pPr>
        <w:keepNext w:val="0"/>
        <w:keepLines w:val="0"/>
        <w:pageBreakBefore w:val="0"/>
        <w:widowControl w:val="0"/>
        <w:shd w:val="clear" w:color="auto" w:fill="auto"/>
        <w:kinsoku/>
        <w:wordWrap/>
        <w:overflowPunct/>
        <w:topLinePunct w:val="0"/>
        <w:autoSpaceDE/>
        <w:autoSpaceDN/>
        <w:bidi w:val="0"/>
        <w:adjustRightInd/>
        <w:snapToGrid/>
        <w:spacing w:line="360" w:lineRule="auto"/>
        <w:jc w:val="center"/>
        <w:textAlignment w:val="auto"/>
        <w:outlineLvl w:val="1"/>
        <w:rPr>
          <w:rFonts w:hint="default" w:ascii="宋体" w:hAnsi="宋体" w:eastAsia="宋体" w:cs="宋体"/>
          <w:b/>
          <w:color w:val="auto"/>
          <w:sz w:val="30"/>
          <w:szCs w:val="30"/>
          <w:highlight w:val="none"/>
          <w:lang w:val="en-US" w:eastAsia="zh-CN"/>
        </w:rPr>
      </w:pPr>
      <w:bookmarkStart w:id="153" w:name="_Toc16117"/>
      <w:r>
        <w:rPr>
          <w:rFonts w:hint="eastAsia" w:ascii="宋体" w:hAnsi="宋体" w:eastAsia="宋体" w:cs="宋体"/>
          <w:b/>
          <w:color w:val="auto"/>
          <w:sz w:val="30"/>
          <w:szCs w:val="30"/>
          <w:highlight w:val="none"/>
          <w:lang w:val="en-US" w:eastAsia="zh-CN"/>
        </w:rPr>
        <w:t>八</w:t>
      </w:r>
      <w:r>
        <w:rPr>
          <w:rFonts w:hint="eastAsia" w:ascii="宋体" w:hAnsi="宋体" w:eastAsia="宋体" w:cs="宋体"/>
          <w:b/>
          <w:color w:val="auto"/>
          <w:sz w:val="30"/>
          <w:szCs w:val="30"/>
          <w:highlight w:val="none"/>
        </w:rPr>
        <w:t>、</w:t>
      </w:r>
      <w:bookmarkEnd w:id="149"/>
      <w:bookmarkEnd w:id="150"/>
      <w:bookmarkEnd w:id="151"/>
      <w:bookmarkEnd w:id="152"/>
      <w:r>
        <w:rPr>
          <w:rFonts w:hint="eastAsia" w:ascii="宋体" w:hAnsi="宋体" w:eastAsia="宋体" w:cs="宋体"/>
          <w:b/>
          <w:color w:val="auto"/>
          <w:sz w:val="30"/>
          <w:szCs w:val="30"/>
          <w:highlight w:val="none"/>
          <w:lang w:val="en-US" w:eastAsia="zh-CN"/>
        </w:rPr>
        <w:t>类似项目业绩汇总表</w:t>
      </w:r>
      <w:bookmarkEnd w:id="153"/>
    </w:p>
    <w:tbl>
      <w:tblPr>
        <w:tblStyle w:val="1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628"/>
        <w:gridCol w:w="1709"/>
        <w:gridCol w:w="2348"/>
        <w:gridCol w:w="1980"/>
        <w:gridCol w:w="2340"/>
      </w:tblGrid>
      <w:tr w14:paraId="6BE022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67" w:hRule="atLeast"/>
          <w:jc w:val="center"/>
        </w:trPr>
        <w:tc>
          <w:tcPr>
            <w:tcW w:w="628" w:type="dxa"/>
            <w:tcBorders>
              <w:top w:val="single" w:color="auto" w:sz="4" w:space="0"/>
              <w:left w:val="single" w:color="auto" w:sz="4" w:space="0"/>
            </w:tcBorders>
            <w:noWrap w:val="0"/>
            <w:vAlign w:val="center"/>
          </w:tcPr>
          <w:p w14:paraId="4BE39866">
            <w:pPr>
              <w:spacing w:line="240" w:lineRule="auto"/>
              <w:ind w:firstLine="0" w:firstLineChars="0"/>
              <w:jc w:val="center"/>
              <w:rPr>
                <w:color w:val="auto"/>
                <w:highlight w:val="none"/>
              </w:rPr>
            </w:pPr>
            <w:r>
              <w:rPr>
                <w:rFonts w:hint="eastAsia"/>
                <w:color w:val="auto"/>
                <w:highlight w:val="none"/>
              </w:rPr>
              <w:t>序号</w:t>
            </w:r>
          </w:p>
        </w:tc>
        <w:tc>
          <w:tcPr>
            <w:tcW w:w="1709" w:type="dxa"/>
            <w:tcBorders>
              <w:top w:val="single" w:color="auto" w:sz="4" w:space="0"/>
            </w:tcBorders>
            <w:noWrap w:val="0"/>
            <w:vAlign w:val="center"/>
          </w:tcPr>
          <w:p w14:paraId="37091006">
            <w:pPr>
              <w:spacing w:line="240" w:lineRule="auto"/>
              <w:ind w:firstLine="0" w:firstLineChars="0"/>
              <w:jc w:val="center"/>
              <w:rPr>
                <w:color w:val="auto"/>
                <w:highlight w:val="none"/>
              </w:rPr>
            </w:pPr>
            <w:r>
              <w:rPr>
                <w:rFonts w:hint="eastAsia"/>
                <w:color w:val="auto"/>
                <w:highlight w:val="none"/>
              </w:rPr>
              <w:t>项目名称</w:t>
            </w:r>
          </w:p>
        </w:tc>
        <w:tc>
          <w:tcPr>
            <w:tcW w:w="2348" w:type="dxa"/>
            <w:tcBorders>
              <w:top w:val="single" w:color="auto" w:sz="4" w:space="0"/>
            </w:tcBorders>
            <w:noWrap w:val="0"/>
            <w:vAlign w:val="center"/>
          </w:tcPr>
          <w:p w14:paraId="456B3A65">
            <w:pPr>
              <w:spacing w:line="240" w:lineRule="auto"/>
              <w:ind w:firstLine="0" w:firstLineChars="0"/>
              <w:jc w:val="center"/>
              <w:rPr>
                <w:color w:val="auto"/>
                <w:highlight w:val="none"/>
              </w:rPr>
            </w:pPr>
            <w:r>
              <w:rPr>
                <w:rFonts w:hint="eastAsia"/>
                <w:color w:val="auto"/>
                <w:highlight w:val="none"/>
              </w:rPr>
              <w:t>合同内容</w:t>
            </w:r>
          </w:p>
        </w:tc>
        <w:tc>
          <w:tcPr>
            <w:tcW w:w="1980" w:type="dxa"/>
            <w:tcBorders>
              <w:top w:val="single" w:color="auto" w:sz="4" w:space="0"/>
              <w:right w:val="single" w:color="auto" w:sz="4" w:space="0"/>
            </w:tcBorders>
            <w:noWrap w:val="0"/>
            <w:vAlign w:val="center"/>
          </w:tcPr>
          <w:p w14:paraId="5E431DFD">
            <w:pPr>
              <w:spacing w:line="240" w:lineRule="auto"/>
              <w:ind w:firstLine="0" w:firstLineChars="0"/>
              <w:jc w:val="center"/>
              <w:rPr>
                <w:color w:val="auto"/>
                <w:highlight w:val="none"/>
              </w:rPr>
            </w:pPr>
            <w:r>
              <w:rPr>
                <w:rFonts w:hint="eastAsia"/>
                <w:color w:val="auto"/>
                <w:highlight w:val="none"/>
              </w:rPr>
              <w:t>采购单位</w:t>
            </w:r>
          </w:p>
        </w:tc>
        <w:tc>
          <w:tcPr>
            <w:tcW w:w="2340" w:type="dxa"/>
            <w:tcBorders>
              <w:top w:val="single" w:color="auto" w:sz="4" w:space="0"/>
              <w:left w:val="single" w:color="auto" w:sz="4" w:space="0"/>
              <w:right w:val="single" w:color="auto" w:sz="4" w:space="0"/>
            </w:tcBorders>
            <w:noWrap w:val="0"/>
            <w:vAlign w:val="center"/>
          </w:tcPr>
          <w:p w14:paraId="0CDDE307">
            <w:pPr>
              <w:spacing w:line="240" w:lineRule="auto"/>
              <w:ind w:firstLine="0" w:firstLineChars="0"/>
              <w:jc w:val="center"/>
              <w:rPr>
                <w:color w:val="auto"/>
                <w:highlight w:val="none"/>
              </w:rPr>
            </w:pPr>
            <w:r>
              <w:rPr>
                <w:rFonts w:hint="eastAsia"/>
                <w:color w:val="auto"/>
                <w:highlight w:val="none"/>
              </w:rPr>
              <w:t>合同金额（元）</w:t>
            </w:r>
          </w:p>
        </w:tc>
      </w:tr>
      <w:tr w14:paraId="3F58EC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67" w:hRule="atLeast"/>
          <w:jc w:val="center"/>
        </w:trPr>
        <w:tc>
          <w:tcPr>
            <w:tcW w:w="628" w:type="dxa"/>
            <w:tcBorders>
              <w:left w:val="single" w:color="auto" w:sz="4" w:space="0"/>
            </w:tcBorders>
            <w:noWrap w:val="0"/>
            <w:vAlign w:val="center"/>
          </w:tcPr>
          <w:p w14:paraId="06D29237">
            <w:pPr>
              <w:spacing w:line="240" w:lineRule="auto"/>
              <w:ind w:firstLine="0" w:firstLineChars="0"/>
              <w:jc w:val="center"/>
              <w:rPr>
                <w:color w:val="auto"/>
                <w:highlight w:val="none"/>
              </w:rPr>
            </w:pPr>
            <w:r>
              <w:rPr>
                <w:rFonts w:hint="eastAsia"/>
                <w:color w:val="auto"/>
                <w:highlight w:val="none"/>
              </w:rPr>
              <w:t>1</w:t>
            </w:r>
          </w:p>
        </w:tc>
        <w:tc>
          <w:tcPr>
            <w:tcW w:w="1709" w:type="dxa"/>
            <w:noWrap w:val="0"/>
            <w:vAlign w:val="center"/>
          </w:tcPr>
          <w:p w14:paraId="47BAEF52">
            <w:pPr>
              <w:spacing w:line="240" w:lineRule="auto"/>
              <w:ind w:firstLine="0" w:firstLineChars="0"/>
              <w:jc w:val="center"/>
              <w:rPr>
                <w:color w:val="auto"/>
                <w:highlight w:val="none"/>
              </w:rPr>
            </w:pPr>
          </w:p>
        </w:tc>
        <w:tc>
          <w:tcPr>
            <w:tcW w:w="2348" w:type="dxa"/>
            <w:noWrap w:val="0"/>
            <w:vAlign w:val="center"/>
          </w:tcPr>
          <w:p w14:paraId="50ADC51F">
            <w:pPr>
              <w:spacing w:line="240" w:lineRule="auto"/>
              <w:ind w:firstLine="0" w:firstLineChars="0"/>
              <w:jc w:val="center"/>
              <w:rPr>
                <w:color w:val="auto"/>
                <w:highlight w:val="none"/>
              </w:rPr>
            </w:pPr>
          </w:p>
        </w:tc>
        <w:tc>
          <w:tcPr>
            <w:tcW w:w="1980" w:type="dxa"/>
            <w:tcBorders>
              <w:right w:val="single" w:color="auto" w:sz="4" w:space="0"/>
            </w:tcBorders>
            <w:noWrap w:val="0"/>
            <w:vAlign w:val="center"/>
          </w:tcPr>
          <w:p w14:paraId="5E20B8DC">
            <w:pPr>
              <w:spacing w:line="240" w:lineRule="auto"/>
              <w:ind w:firstLine="0" w:firstLineChars="0"/>
              <w:jc w:val="center"/>
              <w:rPr>
                <w:color w:val="auto"/>
                <w:highlight w:val="none"/>
              </w:rPr>
            </w:pPr>
          </w:p>
        </w:tc>
        <w:tc>
          <w:tcPr>
            <w:tcW w:w="2340" w:type="dxa"/>
            <w:tcBorders>
              <w:left w:val="single" w:color="auto" w:sz="4" w:space="0"/>
              <w:right w:val="single" w:color="auto" w:sz="4" w:space="0"/>
            </w:tcBorders>
            <w:noWrap w:val="0"/>
            <w:vAlign w:val="center"/>
          </w:tcPr>
          <w:p w14:paraId="74922859">
            <w:pPr>
              <w:spacing w:line="240" w:lineRule="auto"/>
              <w:ind w:firstLine="0" w:firstLineChars="0"/>
              <w:jc w:val="center"/>
              <w:rPr>
                <w:color w:val="auto"/>
                <w:highlight w:val="none"/>
              </w:rPr>
            </w:pPr>
          </w:p>
        </w:tc>
      </w:tr>
      <w:tr w14:paraId="71DB62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67" w:hRule="atLeast"/>
          <w:jc w:val="center"/>
        </w:trPr>
        <w:tc>
          <w:tcPr>
            <w:tcW w:w="628" w:type="dxa"/>
            <w:tcBorders>
              <w:left w:val="single" w:color="auto" w:sz="4" w:space="0"/>
            </w:tcBorders>
            <w:noWrap w:val="0"/>
            <w:vAlign w:val="center"/>
          </w:tcPr>
          <w:p w14:paraId="68FF30A1">
            <w:pPr>
              <w:spacing w:line="240" w:lineRule="auto"/>
              <w:ind w:firstLine="0" w:firstLineChars="0"/>
              <w:jc w:val="center"/>
              <w:rPr>
                <w:color w:val="auto"/>
                <w:highlight w:val="none"/>
              </w:rPr>
            </w:pPr>
            <w:r>
              <w:rPr>
                <w:rFonts w:hint="eastAsia"/>
                <w:color w:val="auto"/>
                <w:highlight w:val="none"/>
              </w:rPr>
              <w:t>2</w:t>
            </w:r>
          </w:p>
        </w:tc>
        <w:tc>
          <w:tcPr>
            <w:tcW w:w="1709" w:type="dxa"/>
            <w:noWrap w:val="0"/>
            <w:vAlign w:val="center"/>
          </w:tcPr>
          <w:p w14:paraId="494217CD">
            <w:pPr>
              <w:spacing w:line="240" w:lineRule="auto"/>
              <w:ind w:firstLine="0" w:firstLineChars="0"/>
              <w:jc w:val="center"/>
              <w:rPr>
                <w:color w:val="auto"/>
                <w:highlight w:val="none"/>
              </w:rPr>
            </w:pPr>
          </w:p>
        </w:tc>
        <w:tc>
          <w:tcPr>
            <w:tcW w:w="2348" w:type="dxa"/>
            <w:noWrap w:val="0"/>
            <w:vAlign w:val="center"/>
          </w:tcPr>
          <w:p w14:paraId="3AAEAFB6">
            <w:pPr>
              <w:spacing w:line="240" w:lineRule="auto"/>
              <w:ind w:firstLine="0" w:firstLineChars="0"/>
              <w:jc w:val="center"/>
              <w:rPr>
                <w:color w:val="auto"/>
                <w:highlight w:val="none"/>
              </w:rPr>
            </w:pPr>
          </w:p>
        </w:tc>
        <w:tc>
          <w:tcPr>
            <w:tcW w:w="1980" w:type="dxa"/>
            <w:tcBorders>
              <w:right w:val="single" w:color="auto" w:sz="4" w:space="0"/>
            </w:tcBorders>
            <w:noWrap w:val="0"/>
            <w:vAlign w:val="center"/>
          </w:tcPr>
          <w:p w14:paraId="3926DE00">
            <w:pPr>
              <w:spacing w:line="240" w:lineRule="auto"/>
              <w:ind w:firstLine="0" w:firstLineChars="0"/>
              <w:jc w:val="center"/>
              <w:rPr>
                <w:color w:val="auto"/>
                <w:highlight w:val="none"/>
              </w:rPr>
            </w:pPr>
          </w:p>
        </w:tc>
        <w:tc>
          <w:tcPr>
            <w:tcW w:w="2340" w:type="dxa"/>
            <w:tcBorders>
              <w:left w:val="single" w:color="auto" w:sz="4" w:space="0"/>
              <w:right w:val="single" w:color="auto" w:sz="4" w:space="0"/>
            </w:tcBorders>
            <w:noWrap w:val="0"/>
            <w:vAlign w:val="center"/>
          </w:tcPr>
          <w:p w14:paraId="06C0D700">
            <w:pPr>
              <w:spacing w:line="240" w:lineRule="auto"/>
              <w:ind w:firstLine="0" w:firstLineChars="0"/>
              <w:jc w:val="center"/>
              <w:rPr>
                <w:color w:val="auto"/>
                <w:highlight w:val="none"/>
              </w:rPr>
            </w:pPr>
          </w:p>
        </w:tc>
      </w:tr>
      <w:tr w14:paraId="0316E1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67" w:hRule="atLeast"/>
          <w:jc w:val="center"/>
        </w:trPr>
        <w:tc>
          <w:tcPr>
            <w:tcW w:w="628" w:type="dxa"/>
            <w:tcBorders>
              <w:left w:val="single" w:color="auto" w:sz="4" w:space="0"/>
            </w:tcBorders>
            <w:noWrap w:val="0"/>
            <w:vAlign w:val="center"/>
          </w:tcPr>
          <w:p w14:paraId="217E741A">
            <w:pPr>
              <w:spacing w:line="240" w:lineRule="auto"/>
              <w:ind w:firstLine="0" w:firstLineChars="0"/>
              <w:jc w:val="center"/>
              <w:rPr>
                <w:color w:val="auto"/>
                <w:highlight w:val="none"/>
              </w:rPr>
            </w:pPr>
            <w:r>
              <w:rPr>
                <w:rFonts w:hint="eastAsia"/>
                <w:color w:val="auto"/>
                <w:highlight w:val="none"/>
              </w:rPr>
              <w:t>3</w:t>
            </w:r>
          </w:p>
        </w:tc>
        <w:tc>
          <w:tcPr>
            <w:tcW w:w="1709" w:type="dxa"/>
            <w:noWrap w:val="0"/>
            <w:vAlign w:val="center"/>
          </w:tcPr>
          <w:p w14:paraId="064C347A">
            <w:pPr>
              <w:spacing w:line="240" w:lineRule="auto"/>
              <w:ind w:firstLine="0" w:firstLineChars="0"/>
              <w:jc w:val="center"/>
              <w:rPr>
                <w:color w:val="auto"/>
                <w:highlight w:val="none"/>
              </w:rPr>
            </w:pPr>
          </w:p>
        </w:tc>
        <w:tc>
          <w:tcPr>
            <w:tcW w:w="2348" w:type="dxa"/>
            <w:noWrap w:val="0"/>
            <w:vAlign w:val="center"/>
          </w:tcPr>
          <w:p w14:paraId="0F14C36A">
            <w:pPr>
              <w:spacing w:line="240" w:lineRule="auto"/>
              <w:ind w:firstLine="0" w:firstLineChars="0"/>
              <w:jc w:val="center"/>
              <w:rPr>
                <w:color w:val="auto"/>
                <w:highlight w:val="none"/>
              </w:rPr>
            </w:pPr>
          </w:p>
        </w:tc>
        <w:tc>
          <w:tcPr>
            <w:tcW w:w="1980" w:type="dxa"/>
            <w:tcBorders>
              <w:right w:val="single" w:color="auto" w:sz="4" w:space="0"/>
            </w:tcBorders>
            <w:noWrap w:val="0"/>
            <w:vAlign w:val="center"/>
          </w:tcPr>
          <w:p w14:paraId="6A4A515D">
            <w:pPr>
              <w:spacing w:line="240" w:lineRule="auto"/>
              <w:ind w:firstLine="0" w:firstLineChars="0"/>
              <w:jc w:val="center"/>
              <w:rPr>
                <w:color w:val="auto"/>
                <w:highlight w:val="none"/>
              </w:rPr>
            </w:pPr>
          </w:p>
        </w:tc>
        <w:tc>
          <w:tcPr>
            <w:tcW w:w="2340" w:type="dxa"/>
            <w:tcBorders>
              <w:left w:val="single" w:color="auto" w:sz="4" w:space="0"/>
              <w:right w:val="single" w:color="auto" w:sz="4" w:space="0"/>
            </w:tcBorders>
            <w:noWrap w:val="0"/>
            <w:vAlign w:val="center"/>
          </w:tcPr>
          <w:p w14:paraId="337F7073">
            <w:pPr>
              <w:spacing w:line="240" w:lineRule="auto"/>
              <w:ind w:firstLine="0" w:firstLineChars="0"/>
              <w:jc w:val="center"/>
              <w:rPr>
                <w:color w:val="auto"/>
                <w:highlight w:val="none"/>
              </w:rPr>
            </w:pPr>
          </w:p>
        </w:tc>
      </w:tr>
      <w:tr w14:paraId="769530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67" w:hRule="atLeast"/>
          <w:jc w:val="center"/>
        </w:trPr>
        <w:tc>
          <w:tcPr>
            <w:tcW w:w="628" w:type="dxa"/>
            <w:tcBorders>
              <w:left w:val="single" w:color="auto" w:sz="4" w:space="0"/>
            </w:tcBorders>
            <w:noWrap w:val="0"/>
            <w:vAlign w:val="center"/>
          </w:tcPr>
          <w:p w14:paraId="3E8116F9">
            <w:pPr>
              <w:spacing w:line="240" w:lineRule="auto"/>
              <w:ind w:firstLine="0" w:firstLineChars="0"/>
              <w:jc w:val="center"/>
              <w:rPr>
                <w:color w:val="auto"/>
                <w:highlight w:val="none"/>
              </w:rPr>
            </w:pPr>
            <w:r>
              <w:rPr>
                <w:rFonts w:hint="eastAsia"/>
                <w:color w:val="auto"/>
                <w:highlight w:val="none"/>
              </w:rPr>
              <w:t>4</w:t>
            </w:r>
          </w:p>
        </w:tc>
        <w:tc>
          <w:tcPr>
            <w:tcW w:w="1709" w:type="dxa"/>
            <w:noWrap w:val="0"/>
            <w:vAlign w:val="center"/>
          </w:tcPr>
          <w:p w14:paraId="60E21B44">
            <w:pPr>
              <w:spacing w:line="240" w:lineRule="auto"/>
              <w:ind w:firstLine="0" w:firstLineChars="0"/>
              <w:jc w:val="center"/>
              <w:rPr>
                <w:color w:val="auto"/>
                <w:highlight w:val="none"/>
              </w:rPr>
            </w:pPr>
          </w:p>
        </w:tc>
        <w:tc>
          <w:tcPr>
            <w:tcW w:w="2348" w:type="dxa"/>
            <w:noWrap w:val="0"/>
            <w:vAlign w:val="center"/>
          </w:tcPr>
          <w:p w14:paraId="416700E7">
            <w:pPr>
              <w:spacing w:line="240" w:lineRule="auto"/>
              <w:ind w:firstLine="0" w:firstLineChars="0"/>
              <w:jc w:val="center"/>
              <w:rPr>
                <w:color w:val="auto"/>
                <w:highlight w:val="none"/>
              </w:rPr>
            </w:pPr>
          </w:p>
        </w:tc>
        <w:tc>
          <w:tcPr>
            <w:tcW w:w="1980" w:type="dxa"/>
            <w:tcBorders>
              <w:right w:val="single" w:color="auto" w:sz="4" w:space="0"/>
            </w:tcBorders>
            <w:noWrap w:val="0"/>
            <w:vAlign w:val="center"/>
          </w:tcPr>
          <w:p w14:paraId="01334593">
            <w:pPr>
              <w:spacing w:line="240" w:lineRule="auto"/>
              <w:ind w:firstLine="0" w:firstLineChars="0"/>
              <w:jc w:val="center"/>
              <w:rPr>
                <w:color w:val="auto"/>
                <w:highlight w:val="none"/>
              </w:rPr>
            </w:pPr>
          </w:p>
        </w:tc>
        <w:tc>
          <w:tcPr>
            <w:tcW w:w="2340" w:type="dxa"/>
            <w:tcBorders>
              <w:left w:val="single" w:color="auto" w:sz="4" w:space="0"/>
              <w:right w:val="single" w:color="auto" w:sz="4" w:space="0"/>
            </w:tcBorders>
            <w:noWrap w:val="0"/>
            <w:vAlign w:val="center"/>
          </w:tcPr>
          <w:p w14:paraId="71EA4C12">
            <w:pPr>
              <w:spacing w:line="240" w:lineRule="auto"/>
              <w:ind w:firstLine="0" w:firstLineChars="0"/>
              <w:jc w:val="center"/>
              <w:rPr>
                <w:color w:val="auto"/>
                <w:highlight w:val="none"/>
              </w:rPr>
            </w:pPr>
          </w:p>
        </w:tc>
      </w:tr>
      <w:tr w14:paraId="2B3721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67" w:hRule="atLeast"/>
          <w:jc w:val="center"/>
        </w:trPr>
        <w:tc>
          <w:tcPr>
            <w:tcW w:w="628" w:type="dxa"/>
            <w:tcBorders>
              <w:left w:val="single" w:color="auto" w:sz="4" w:space="0"/>
            </w:tcBorders>
            <w:noWrap w:val="0"/>
            <w:vAlign w:val="center"/>
          </w:tcPr>
          <w:p w14:paraId="15EB9587">
            <w:pPr>
              <w:spacing w:line="240" w:lineRule="auto"/>
              <w:ind w:firstLine="0" w:firstLineChars="0"/>
              <w:jc w:val="center"/>
              <w:rPr>
                <w:color w:val="auto"/>
                <w:highlight w:val="none"/>
              </w:rPr>
            </w:pPr>
            <w:r>
              <w:rPr>
                <w:rFonts w:hint="eastAsia"/>
                <w:color w:val="auto"/>
                <w:highlight w:val="none"/>
              </w:rPr>
              <w:t>5</w:t>
            </w:r>
          </w:p>
        </w:tc>
        <w:tc>
          <w:tcPr>
            <w:tcW w:w="1709" w:type="dxa"/>
            <w:noWrap w:val="0"/>
            <w:vAlign w:val="center"/>
          </w:tcPr>
          <w:p w14:paraId="0F9D4FE2">
            <w:pPr>
              <w:spacing w:line="240" w:lineRule="auto"/>
              <w:ind w:firstLine="0" w:firstLineChars="0"/>
              <w:jc w:val="center"/>
              <w:rPr>
                <w:color w:val="auto"/>
                <w:highlight w:val="none"/>
              </w:rPr>
            </w:pPr>
          </w:p>
        </w:tc>
        <w:tc>
          <w:tcPr>
            <w:tcW w:w="2348" w:type="dxa"/>
            <w:noWrap w:val="0"/>
            <w:vAlign w:val="center"/>
          </w:tcPr>
          <w:p w14:paraId="54428FC5">
            <w:pPr>
              <w:spacing w:line="240" w:lineRule="auto"/>
              <w:ind w:firstLine="0" w:firstLineChars="0"/>
              <w:jc w:val="center"/>
              <w:rPr>
                <w:color w:val="auto"/>
                <w:highlight w:val="none"/>
              </w:rPr>
            </w:pPr>
          </w:p>
        </w:tc>
        <w:tc>
          <w:tcPr>
            <w:tcW w:w="1980" w:type="dxa"/>
            <w:tcBorders>
              <w:right w:val="single" w:color="auto" w:sz="4" w:space="0"/>
            </w:tcBorders>
            <w:noWrap w:val="0"/>
            <w:vAlign w:val="center"/>
          </w:tcPr>
          <w:p w14:paraId="36B0423F">
            <w:pPr>
              <w:spacing w:line="240" w:lineRule="auto"/>
              <w:ind w:firstLine="0" w:firstLineChars="0"/>
              <w:jc w:val="center"/>
              <w:rPr>
                <w:color w:val="auto"/>
                <w:highlight w:val="none"/>
              </w:rPr>
            </w:pPr>
          </w:p>
        </w:tc>
        <w:tc>
          <w:tcPr>
            <w:tcW w:w="2340" w:type="dxa"/>
            <w:tcBorders>
              <w:left w:val="single" w:color="auto" w:sz="4" w:space="0"/>
              <w:right w:val="single" w:color="auto" w:sz="4" w:space="0"/>
            </w:tcBorders>
            <w:noWrap w:val="0"/>
            <w:vAlign w:val="center"/>
          </w:tcPr>
          <w:p w14:paraId="357F659E">
            <w:pPr>
              <w:spacing w:line="240" w:lineRule="auto"/>
              <w:ind w:firstLine="0" w:firstLineChars="0"/>
              <w:jc w:val="center"/>
              <w:rPr>
                <w:color w:val="auto"/>
                <w:highlight w:val="none"/>
              </w:rPr>
            </w:pPr>
          </w:p>
        </w:tc>
      </w:tr>
      <w:tr w14:paraId="4F29AB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67" w:hRule="atLeast"/>
          <w:jc w:val="center"/>
        </w:trPr>
        <w:tc>
          <w:tcPr>
            <w:tcW w:w="628" w:type="dxa"/>
            <w:tcBorders>
              <w:left w:val="single" w:color="auto" w:sz="4" w:space="0"/>
            </w:tcBorders>
            <w:noWrap w:val="0"/>
            <w:vAlign w:val="center"/>
          </w:tcPr>
          <w:p w14:paraId="06BA681D">
            <w:pPr>
              <w:spacing w:line="240" w:lineRule="auto"/>
              <w:ind w:firstLine="0" w:firstLineChars="0"/>
              <w:jc w:val="center"/>
              <w:rPr>
                <w:color w:val="auto"/>
                <w:highlight w:val="none"/>
              </w:rPr>
            </w:pPr>
            <w:r>
              <w:rPr>
                <w:rFonts w:hint="eastAsia"/>
                <w:color w:val="auto"/>
                <w:highlight w:val="none"/>
              </w:rPr>
              <w:t>…</w:t>
            </w:r>
          </w:p>
        </w:tc>
        <w:tc>
          <w:tcPr>
            <w:tcW w:w="1709" w:type="dxa"/>
            <w:noWrap w:val="0"/>
            <w:vAlign w:val="center"/>
          </w:tcPr>
          <w:p w14:paraId="1571FA02">
            <w:pPr>
              <w:spacing w:line="240" w:lineRule="auto"/>
              <w:ind w:firstLine="0" w:firstLineChars="0"/>
              <w:jc w:val="center"/>
              <w:rPr>
                <w:color w:val="auto"/>
                <w:highlight w:val="none"/>
              </w:rPr>
            </w:pPr>
          </w:p>
        </w:tc>
        <w:tc>
          <w:tcPr>
            <w:tcW w:w="2348" w:type="dxa"/>
            <w:noWrap w:val="0"/>
            <w:vAlign w:val="center"/>
          </w:tcPr>
          <w:p w14:paraId="4324EC14">
            <w:pPr>
              <w:spacing w:line="240" w:lineRule="auto"/>
              <w:ind w:firstLine="0" w:firstLineChars="0"/>
              <w:jc w:val="center"/>
              <w:rPr>
                <w:color w:val="auto"/>
                <w:highlight w:val="none"/>
              </w:rPr>
            </w:pPr>
          </w:p>
        </w:tc>
        <w:tc>
          <w:tcPr>
            <w:tcW w:w="1980" w:type="dxa"/>
            <w:tcBorders>
              <w:right w:val="single" w:color="auto" w:sz="4" w:space="0"/>
            </w:tcBorders>
            <w:noWrap w:val="0"/>
            <w:vAlign w:val="center"/>
          </w:tcPr>
          <w:p w14:paraId="1E2C0A3A">
            <w:pPr>
              <w:spacing w:line="240" w:lineRule="auto"/>
              <w:ind w:firstLine="0" w:firstLineChars="0"/>
              <w:jc w:val="center"/>
              <w:rPr>
                <w:color w:val="auto"/>
                <w:highlight w:val="none"/>
              </w:rPr>
            </w:pPr>
          </w:p>
        </w:tc>
        <w:tc>
          <w:tcPr>
            <w:tcW w:w="2340" w:type="dxa"/>
            <w:tcBorders>
              <w:left w:val="single" w:color="auto" w:sz="4" w:space="0"/>
              <w:right w:val="single" w:color="auto" w:sz="4" w:space="0"/>
            </w:tcBorders>
            <w:noWrap w:val="0"/>
            <w:vAlign w:val="center"/>
          </w:tcPr>
          <w:p w14:paraId="47428AAB">
            <w:pPr>
              <w:spacing w:line="240" w:lineRule="auto"/>
              <w:ind w:firstLine="0" w:firstLineChars="0"/>
              <w:jc w:val="center"/>
              <w:rPr>
                <w:color w:val="auto"/>
                <w:highlight w:val="none"/>
              </w:rPr>
            </w:pPr>
          </w:p>
        </w:tc>
      </w:tr>
      <w:tr w14:paraId="097E7C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67" w:hRule="atLeast"/>
          <w:jc w:val="center"/>
        </w:trPr>
        <w:tc>
          <w:tcPr>
            <w:tcW w:w="628" w:type="dxa"/>
            <w:tcBorders>
              <w:left w:val="single" w:color="auto" w:sz="4" w:space="0"/>
            </w:tcBorders>
            <w:noWrap w:val="0"/>
            <w:vAlign w:val="center"/>
          </w:tcPr>
          <w:p w14:paraId="0D6107A5">
            <w:pPr>
              <w:spacing w:line="240" w:lineRule="auto"/>
              <w:ind w:firstLine="0" w:firstLineChars="0"/>
              <w:jc w:val="center"/>
              <w:rPr>
                <w:color w:val="auto"/>
                <w:highlight w:val="none"/>
              </w:rPr>
            </w:pPr>
          </w:p>
        </w:tc>
        <w:tc>
          <w:tcPr>
            <w:tcW w:w="1709" w:type="dxa"/>
            <w:noWrap w:val="0"/>
            <w:vAlign w:val="center"/>
          </w:tcPr>
          <w:p w14:paraId="63F71BF3">
            <w:pPr>
              <w:spacing w:line="240" w:lineRule="auto"/>
              <w:ind w:firstLine="0" w:firstLineChars="0"/>
              <w:jc w:val="center"/>
              <w:rPr>
                <w:color w:val="auto"/>
                <w:highlight w:val="none"/>
              </w:rPr>
            </w:pPr>
          </w:p>
        </w:tc>
        <w:tc>
          <w:tcPr>
            <w:tcW w:w="2348" w:type="dxa"/>
            <w:noWrap w:val="0"/>
            <w:vAlign w:val="center"/>
          </w:tcPr>
          <w:p w14:paraId="2DCAC2AA">
            <w:pPr>
              <w:spacing w:line="240" w:lineRule="auto"/>
              <w:ind w:firstLine="0" w:firstLineChars="0"/>
              <w:jc w:val="center"/>
              <w:rPr>
                <w:color w:val="auto"/>
                <w:highlight w:val="none"/>
              </w:rPr>
            </w:pPr>
          </w:p>
        </w:tc>
        <w:tc>
          <w:tcPr>
            <w:tcW w:w="1980" w:type="dxa"/>
            <w:tcBorders>
              <w:right w:val="single" w:color="auto" w:sz="4" w:space="0"/>
            </w:tcBorders>
            <w:noWrap w:val="0"/>
            <w:vAlign w:val="center"/>
          </w:tcPr>
          <w:p w14:paraId="707B6B24">
            <w:pPr>
              <w:spacing w:line="240" w:lineRule="auto"/>
              <w:ind w:firstLine="0" w:firstLineChars="0"/>
              <w:jc w:val="center"/>
              <w:rPr>
                <w:color w:val="auto"/>
                <w:highlight w:val="none"/>
              </w:rPr>
            </w:pPr>
          </w:p>
        </w:tc>
        <w:tc>
          <w:tcPr>
            <w:tcW w:w="2340" w:type="dxa"/>
            <w:tcBorders>
              <w:left w:val="single" w:color="auto" w:sz="4" w:space="0"/>
              <w:right w:val="single" w:color="auto" w:sz="4" w:space="0"/>
            </w:tcBorders>
            <w:noWrap w:val="0"/>
            <w:vAlign w:val="center"/>
          </w:tcPr>
          <w:p w14:paraId="2EC4A2FE">
            <w:pPr>
              <w:spacing w:line="240" w:lineRule="auto"/>
              <w:ind w:firstLine="0" w:firstLineChars="0"/>
              <w:jc w:val="center"/>
              <w:rPr>
                <w:color w:val="auto"/>
                <w:highlight w:val="none"/>
              </w:rPr>
            </w:pPr>
          </w:p>
        </w:tc>
      </w:tr>
      <w:tr w14:paraId="1C879A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67" w:hRule="atLeast"/>
          <w:jc w:val="center"/>
        </w:trPr>
        <w:tc>
          <w:tcPr>
            <w:tcW w:w="628" w:type="dxa"/>
            <w:tcBorders>
              <w:left w:val="single" w:color="auto" w:sz="4" w:space="0"/>
            </w:tcBorders>
            <w:noWrap w:val="0"/>
            <w:vAlign w:val="center"/>
          </w:tcPr>
          <w:p w14:paraId="192CCE31">
            <w:pPr>
              <w:spacing w:line="240" w:lineRule="auto"/>
              <w:ind w:firstLine="0" w:firstLineChars="0"/>
              <w:jc w:val="center"/>
              <w:rPr>
                <w:color w:val="auto"/>
                <w:highlight w:val="none"/>
              </w:rPr>
            </w:pPr>
          </w:p>
        </w:tc>
        <w:tc>
          <w:tcPr>
            <w:tcW w:w="1709" w:type="dxa"/>
            <w:noWrap w:val="0"/>
            <w:vAlign w:val="center"/>
          </w:tcPr>
          <w:p w14:paraId="12FC0BE6">
            <w:pPr>
              <w:spacing w:line="240" w:lineRule="auto"/>
              <w:ind w:firstLine="0" w:firstLineChars="0"/>
              <w:jc w:val="center"/>
              <w:rPr>
                <w:color w:val="auto"/>
                <w:highlight w:val="none"/>
              </w:rPr>
            </w:pPr>
          </w:p>
        </w:tc>
        <w:tc>
          <w:tcPr>
            <w:tcW w:w="2348" w:type="dxa"/>
            <w:noWrap w:val="0"/>
            <w:vAlign w:val="center"/>
          </w:tcPr>
          <w:p w14:paraId="214053E6">
            <w:pPr>
              <w:spacing w:line="240" w:lineRule="auto"/>
              <w:ind w:firstLine="0" w:firstLineChars="0"/>
              <w:jc w:val="center"/>
              <w:rPr>
                <w:color w:val="auto"/>
                <w:highlight w:val="none"/>
              </w:rPr>
            </w:pPr>
          </w:p>
        </w:tc>
        <w:tc>
          <w:tcPr>
            <w:tcW w:w="1980" w:type="dxa"/>
            <w:tcBorders>
              <w:right w:val="single" w:color="auto" w:sz="4" w:space="0"/>
            </w:tcBorders>
            <w:noWrap w:val="0"/>
            <w:vAlign w:val="center"/>
          </w:tcPr>
          <w:p w14:paraId="27C0920F">
            <w:pPr>
              <w:spacing w:line="240" w:lineRule="auto"/>
              <w:ind w:firstLine="0" w:firstLineChars="0"/>
              <w:jc w:val="center"/>
              <w:rPr>
                <w:color w:val="auto"/>
                <w:highlight w:val="none"/>
              </w:rPr>
            </w:pPr>
          </w:p>
        </w:tc>
        <w:tc>
          <w:tcPr>
            <w:tcW w:w="2340" w:type="dxa"/>
            <w:tcBorders>
              <w:left w:val="single" w:color="auto" w:sz="4" w:space="0"/>
              <w:right w:val="single" w:color="auto" w:sz="4" w:space="0"/>
            </w:tcBorders>
            <w:noWrap w:val="0"/>
            <w:vAlign w:val="center"/>
          </w:tcPr>
          <w:p w14:paraId="6C16139D">
            <w:pPr>
              <w:spacing w:line="240" w:lineRule="auto"/>
              <w:ind w:firstLine="0" w:firstLineChars="0"/>
              <w:jc w:val="center"/>
              <w:rPr>
                <w:color w:val="auto"/>
                <w:highlight w:val="none"/>
              </w:rPr>
            </w:pPr>
          </w:p>
        </w:tc>
      </w:tr>
      <w:tr w14:paraId="21A9B5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67" w:hRule="atLeast"/>
          <w:jc w:val="center"/>
        </w:trPr>
        <w:tc>
          <w:tcPr>
            <w:tcW w:w="628" w:type="dxa"/>
            <w:tcBorders>
              <w:left w:val="single" w:color="auto" w:sz="4" w:space="0"/>
            </w:tcBorders>
            <w:noWrap w:val="0"/>
            <w:vAlign w:val="center"/>
          </w:tcPr>
          <w:p w14:paraId="3FF42AD1">
            <w:pPr>
              <w:spacing w:line="240" w:lineRule="auto"/>
              <w:ind w:firstLine="0" w:firstLineChars="0"/>
              <w:jc w:val="center"/>
              <w:rPr>
                <w:color w:val="auto"/>
                <w:highlight w:val="none"/>
              </w:rPr>
            </w:pPr>
          </w:p>
        </w:tc>
        <w:tc>
          <w:tcPr>
            <w:tcW w:w="1709" w:type="dxa"/>
            <w:noWrap w:val="0"/>
            <w:vAlign w:val="center"/>
          </w:tcPr>
          <w:p w14:paraId="78A7EE31">
            <w:pPr>
              <w:spacing w:line="240" w:lineRule="auto"/>
              <w:ind w:firstLine="0" w:firstLineChars="0"/>
              <w:jc w:val="center"/>
              <w:rPr>
                <w:color w:val="auto"/>
                <w:highlight w:val="none"/>
              </w:rPr>
            </w:pPr>
          </w:p>
        </w:tc>
        <w:tc>
          <w:tcPr>
            <w:tcW w:w="2348" w:type="dxa"/>
            <w:noWrap w:val="0"/>
            <w:vAlign w:val="center"/>
          </w:tcPr>
          <w:p w14:paraId="20CCCBFC">
            <w:pPr>
              <w:spacing w:line="240" w:lineRule="auto"/>
              <w:ind w:firstLine="0" w:firstLineChars="0"/>
              <w:jc w:val="center"/>
              <w:rPr>
                <w:color w:val="auto"/>
                <w:highlight w:val="none"/>
              </w:rPr>
            </w:pPr>
          </w:p>
        </w:tc>
        <w:tc>
          <w:tcPr>
            <w:tcW w:w="1980" w:type="dxa"/>
            <w:tcBorders>
              <w:right w:val="single" w:color="auto" w:sz="4" w:space="0"/>
            </w:tcBorders>
            <w:noWrap w:val="0"/>
            <w:vAlign w:val="center"/>
          </w:tcPr>
          <w:p w14:paraId="1AE5A8CA">
            <w:pPr>
              <w:spacing w:line="240" w:lineRule="auto"/>
              <w:ind w:firstLine="0" w:firstLineChars="0"/>
              <w:jc w:val="center"/>
              <w:rPr>
                <w:color w:val="auto"/>
                <w:highlight w:val="none"/>
              </w:rPr>
            </w:pPr>
          </w:p>
        </w:tc>
        <w:tc>
          <w:tcPr>
            <w:tcW w:w="2340" w:type="dxa"/>
            <w:tcBorders>
              <w:left w:val="single" w:color="auto" w:sz="4" w:space="0"/>
              <w:right w:val="single" w:color="auto" w:sz="4" w:space="0"/>
            </w:tcBorders>
            <w:noWrap w:val="0"/>
            <w:vAlign w:val="center"/>
          </w:tcPr>
          <w:p w14:paraId="0CF39B12">
            <w:pPr>
              <w:spacing w:line="240" w:lineRule="auto"/>
              <w:ind w:firstLine="0" w:firstLineChars="0"/>
              <w:jc w:val="center"/>
              <w:rPr>
                <w:color w:val="auto"/>
                <w:highlight w:val="none"/>
              </w:rPr>
            </w:pPr>
          </w:p>
        </w:tc>
      </w:tr>
      <w:tr w14:paraId="58EA17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67" w:hRule="atLeast"/>
          <w:jc w:val="center"/>
        </w:trPr>
        <w:tc>
          <w:tcPr>
            <w:tcW w:w="628" w:type="dxa"/>
            <w:tcBorders>
              <w:left w:val="single" w:color="auto" w:sz="4" w:space="0"/>
            </w:tcBorders>
            <w:noWrap w:val="0"/>
            <w:vAlign w:val="center"/>
          </w:tcPr>
          <w:p w14:paraId="193AAA9A">
            <w:pPr>
              <w:spacing w:line="240" w:lineRule="auto"/>
              <w:ind w:firstLine="0" w:firstLineChars="0"/>
              <w:jc w:val="center"/>
              <w:rPr>
                <w:color w:val="auto"/>
                <w:highlight w:val="none"/>
              </w:rPr>
            </w:pPr>
          </w:p>
        </w:tc>
        <w:tc>
          <w:tcPr>
            <w:tcW w:w="1709" w:type="dxa"/>
            <w:noWrap w:val="0"/>
            <w:vAlign w:val="center"/>
          </w:tcPr>
          <w:p w14:paraId="71786E89">
            <w:pPr>
              <w:spacing w:line="240" w:lineRule="auto"/>
              <w:ind w:firstLine="0" w:firstLineChars="0"/>
              <w:jc w:val="center"/>
              <w:rPr>
                <w:color w:val="auto"/>
                <w:highlight w:val="none"/>
              </w:rPr>
            </w:pPr>
          </w:p>
        </w:tc>
        <w:tc>
          <w:tcPr>
            <w:tcW w:w="2348" w:type="dxa"/>
            <w:noWrap w:val="0"/>
            <w:vAlign w:val="center"/>
          </w:tcPr>
          <w:p w14:paraId="64FE69EB">
            <w:pPr>
              <w:spacing w:line="240" w:lineRule="auto"/>
              <w:ind w:firstLine="0" w:firstLineChars="0"/>
              <w:jc w:val="center"/>
              <w:rPr>
                <w:color w:val="auto"/>
                <w:highlight w:val="none"/>
              </w:rPr>
            </w:pPr>
          </w:p>
        </w:tc>
        <w:tc>
          <w:tcPr>
            <w:tcW w:w="1980" w:type="dxa"/>
            <w:tcBorders>
              <w:right w:val="single" w:color="auto" w:sz="4" w:space="0"/>
            </w:tcBorders>
            <w:noWrap w:val="0"/>
            <w:vAlign w:val="center"/>
          </w:tcPr>
          <w:p w14:paraId="0AB3708E">
            <w:pPr>
              <w:spacing w:line="240" w:lineRule="auto"/>
              <w:ind w:firstLine="0" w:firstLineChars="0"/>
              <w:jc w:val="center"/>
              <w:rPr>
                <w:color w:val="auto"/>
                <w:highlight w:val="none"/>
              </w:rPr>
            </w:pPr>
          </w:p>
        </w:tc>
        <w:tc>
          <w:tcPr>
            <w:tcW w:w="2340" w:type="dxa"/>
            <w:tcBorders>
              <w:left w:val="single" w:color="auto" w:sz="4" w:space="0"/>
              <w:right w:val="single" w:color="auto" w:sz="4" w:space="0"/>
            </w:tcBorders>
            <w:noWrap w:val="0"/>
            <w:vAlign w:val="center"/>
          </w:tcPr>
          <w:p w14:paraId="102BA9DC">
            <w:pPr>
              <w:spacing w:line="240" w:lineRule="auto"/>
              <w:ind w:firstLine="0" w:firstLineChars="0"/>
              <w:jc w:val="center"/>
              <w:rPr>
                <w:color w:val="auto"/>
                <w:highlight w:val="none"/>
              </w:rPr>
            </w:pPr>
          </w:p>
        </w:tc>
      </w:tr>
      <w:tr w14:paraId="4B4885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67" w:hRule="atLeast"/>
          <w:jc w:val="center"/>
        </w:trPr>
        <w:tc>
          <w:tcPr>
            <w:tcW w:w="628" w:type="dxa"/>
            <w:tcBorders>
              <w:left w:val="single" w:color="auto" w:sz="4" w:space="0"/>
            </w:tcBorders>
            <w:noWrap w:val="0"/>
            <w:vAlign w:val="center"/>
          </w:tcPr>
          <w:p w14:paraId="0A6A0394">
            <w:pPr>
              <w:spacing w:line="240" w:lineRule="auto"/>
              <w:ind w:firstLine="0" w:firstLineChars="0"/>
              <w:jc w:val="center"/>
              <w:rPr>
                <w:color w:val="auto"/>
                <w:highlight w:val="none"/>
              </w:rPr>
            </w:pPr>
          </w:p>
        </w:tc>
        <w:tc>
          <w:tcPr>
            <w:tcW w:w="1709" w:type="dxa"/>
            <w:noWrap w:val="0"/>
            <w:vAlign w:val="center"/>
          </w:tcPr>
          <w:p w14:paraId="44AE9F96">
            <w:pPr>
              <w:spacing w:line="240" w:lineRule="auto"/>
              <w:ind w:firstLine="0" w:firstLineChars="0"/>
              <w:jc w:val="center"/>
              <w:rPr>
                <w:color w:val="auto"/>
                <w:highlight w:val="none"/>
              </w:rPr>
            </w:pPr>
          </w:p>
        </w:tc>
        <w:tc>
          <w:tcPr>
            <w:tcW w:w="2348" w:type="dxa"/>
            <w:noWrap w:val="0"/>
            <w:vAlign w:val="center"/>
          </w:tcPr>
          <w:p w14:paraId="24229F62">
            <w:pPr>
              <w:spacing w:line="240" w:lineRule="auto"/>
              <w:ind w:firstLine="0" w:firstLineChars="0"/>
              <w:jc w:val="center"/>
              <w:rPr>
                <w:color w:val="auto"/>
                <w:highlight w:val="none"/>
              </w:rPr>
            </w:pPr>
          </w:p>
        </w:tc>
        <w:tc>
          <w:tcPr>
            <w:tcW w:w="1980" w:type="dxa"/>
            <w:tcBorders>
              <w:right w:val="single" w:color="auto" w:sz="4" w:space="0"/>
            </w:tcBorders>
            <w:noWrap w:val="0"/>
            <w:vAlign w:val="center"/>
          </w:tcPr>
          <w:p w14:paraId="22542F1B">
            <w:pPr>
              <w:spacing w:line="240" w:lineRule="auto"/>
              <w:ind w:firstLine="0" w:firstLineChars="0"/>
              <w:jc w:val="center"/>
              <w:rPr>
                <w:color w:val="auto"/>
                <w:highlight w:val="none"/>
              </w:rPr>
            </w:pPr>
          </w:p>
        </w:tc>
        <w:tc>
          <w:tcPr>
            <w:tcW w:w="2340" w:type="dxa"/>
            <w:tcBorders>
              <w:left w:val="single" w:color="auto" w:sz="4" w:space="0"/>
              <w:right w:val="single" w:color="auto" w:sz="4" w:space="0"/>
            </w:tcBorders>
            <w:noWrap w:val="0"/>
            <w:vAlign w:val="center"/>
          </w:tcPr>
          <w:p w14:paraId="078275C0">
            <w:pPr>
              <w:spacing w:line="240" w:lineRule="auto"/>
              <w:ind w:firstLine="0" w:firstLineChars="0"/>
              <w:jc w:val="center"/>
              <w:rPr>
                <w:color w:val="auto"/>
                <w:highlight w:val="none"/>
              </w:rPr>
            </w:pPr>
          </w:p>
        </w:tc>
      </w:tr>
      <w:tr w14:paraId="4AF701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67" w:hRule="atLeast"/>
          <w:jc w:val="center"/>
        </w:trPr>
        <w:tc>
          <w:tcPr>
            <w:tcW w:w="628" w:type="dxa"/>
            <w:tcBorders>
              <w:left w:val="single" w:color="auto" w:sz="4" w:space="0"/>
            </w:tcBorders>
            <w:noWrap w:val="0"/>
            <w:vAlign w:val="center"/>
          </w:tcPr>
          <w:p w14:paraId="3A742075">
            <w:pPr>
              <w:spacing w:line="240" w:lineRule="auto"/>
              <w:ind w:firstLine="0" w:firstLineChars="0"/>
              <w:jc w:val="center"/>
              <w:rPr>
                <w:color w:val="auto"/>
                <w:highlight w:val="none"/>
              </w:rPr>
            </w:pPr>
          </w:p>
        </w:tc>
        <w:tc>
          <w:tcPr>
            <w:tcW w:w="1709" w:type="dxa"/>
            <w:noWrap w:val="0"/>
            <w:vAlign w:val="center"/>
          </w:tcPr>
          <w:p w14:paraId="1A74B690">
            <w:pPr>
              <w:spacing w:line="240" w:lineRule="auto"/>
              <w:ind w:firstLine="0" w:firstLineChars="0"/>
              <w:jc w:val="center"/>
              <w:rPr>
                <w:color w:val="auto"/>
                <w:highlight w:val="none"/>
              </w:rPr>
            </w:pPr>
          </w:p>
        </w:tc>
        <w:tc>
          <w:tcPr>
            <w:tcW w:w="2348" w:type="dxa"/>
            <w:noWrap w:val="0"/>
            <w:vAlign w:val="center"/>
          </w:tcPr>
          <w:p w14:paraId="25D210CD">
            <w:pPr>
              <w:spacing w:line="240" w:lineRule="auto"/>
              <w:ind w:firstLine="0" w:firstLineChars="0"/>
              <w:jc w:val="center"/>
              <w:rPr>
                <w:color w:val="auto"/>
                <w:highlight w:val="none"/>
              </w:rPr>
            </w:pPr>
          </w:p>
        </w:tc>
        <w:tc>
          <w:tcPr>
            <w:tcW w:w="1980" w:type="dxa"/>
            <w:tcBorders>
              <w:right w:val="single" w:color="auto" w:sz="4" w:space="0"/>
            </w:tcBorders>
            <w:noWrap w:val="0"/>
            <w:vAlign w:val="center"/>
          </w:tcPr>
          <w:p w14:paraId="0A1C0DB0">
            <w:pPr>
              <w:spacing w:line="240" w:lineRule="auto"/>
              <w:ind w:firstLine="0" w:firstLineChars="0"/>
              <w:jc w:val="center"/>
              <w:rPr>
                <w:color w:val="auto"/>
                <w:highlight w:val="none"/>
              </w:rPr>
            </w:pPr>
          </w:p>
        </w:tc>
        <w:tc>
          <w:tcPr>
            <w:tcW w:w="2340" w:type="dxa"/>
            <w:tcBorders>
              <w:left w:val="single" w:color="auto" w:sz="4" w:space="0"/>
              <w:right w:val="single" w:color="auto" w:sz="4" w:space="0"/>
            </w:tcBorders>
            <w:noWrap w:val="0"/>
            <w:vAlign w:val="center"/>
          </w:tcPr>
          <w:p w14:paraId="174BD356">
            <w:pPr>
              <w:spacing w:line="240" w:lineRule="auto"/>
              <w:ind w:firstLine="0" w:firstLineChars="0"/>
              <w:jc w:val="center"/>
              <w:rPr>
                <w:color w:val="auto"/>
                <w:highlight w:val="none"/>
              </w:rPr>
            </w:pPr>
          </w:p>
        </w:tc>
      </w:tr>
      <w:tr w14:paraId="28B22D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67" w:hRule="atLeast"/>
          <w:jc w:val="center"/>
        </w:trPr>
        <w:tc>
          <w:tcPr>
            <w:tcW w:w="628" w:type="dxa"/>
            <w:tcBorders>
              <w:left w:val="single" w:color="auto" w:sz="4" w:space="0"/>
              <w:bottom w:val="single" w:color="auto" w:sz="4" w:space="0"/>
            </w:tcBorders>
            <w:noWrap w:val="0"/>
            <w:vAlign w:val="center"/>
          </w:tcPr>
          <w:p w14:paraId="41E57B6D">
            <w:pPr>
              <w:spacing w:line="240" w:lineRule="auto"/>
              <w:ind w:firstLine="0" w:firstLineChars="0"/>
              <w:jc w:val="center"/>
              <w:rPr>
                <w:color w:val="auto"/>
                <w:highlight w:val="none"/>
              </w:rPr>
            </w:pPr>
          </w:p>
        </w:tc>
        <w:tc>
          <w:tcPr>
            <w:tcW w:w="1709" w:type="dxa"/>
            <w:tcBorders>
              <w:bottom w:val="single" w:color="auto" w:sz="4" w:space="0"/>
            </w:tcBorders>
            <w:noWrap w:val="0"/>
            <w:vAlign w:val="center"/>
          </w:tcPr>
          <w:p w14:paraId="12FA8822">
            <w:pPr>
              <w:spacing w:line="240" w:lineRule="auto"/>
              <w:ind w:firstLine="0" w:firstLineChars="0"/>
              <w:jc w:val="center"/>
              <w:rPr>
                <w:color w:val="auto"/>
                <w:highlight w:val="none"/>
              </w:rPr>
            </w:pPr>
          </w:p>
        </w:tc>
        <w:tc>
          <w:tcPr>
            <w:tcW w:w="2348" w:type="dxa"/>
            <w:tcBorders>
              <w:bottom w:val="single" w:color="auto" w:sz="4" w:space="0"/>
            </w:tcBorders>
            <w:noWrap w:val="0"/>
            <w:vAlign w:val="center"/>
          </w:tcPr>
          <w:p w14:paraId="1F1B9B9C">
            <w:pPr>
              <w:spacing w:line="240" w:lineRule="auto"/>
              <w:ind w:firstLine="0" w:firstLineChars="0"/>
              <w:jc w:val="center"/>
              <w:rPr>
                <w:color w:val="auto"/>
                <w:highlight w:val="none"/>
              </w:rPr>
            </w:pPr>
          </w:p>
        </w:tc>
        <w:tc>
          <w:tcPr>
            <w:tcW w:w="1980" w:type="dxa"/>
            <w:tcBorders>
              <w:bottom w:val="single" w:color="auto" w:sz="4" w:space="0"/>
              <w:right w:val="single" w:color="auto" w:sz="4" w:space="0"/>
            </w:tcBorders>
            <w:noWrap w:val="0"/>
            <w:vAlign w:val="center"/>
          </w:tcPr>
          <w:p w14:paraId="41C6FE11">
            <w:pPr>
              <w:spacing w:line="240" w:lineRule="auto"/>
              <w:ind w:firstLine="0" w:firstLineChars="0"/>
              <w:jc w:val="center"/>
              <w:rPr>
                <w:color w:val="auto"/>
                <w:highlight w:val="none"/>
              </w:rPr>
            </w:pPr>
          </w:p>
        </w:tc>
        <w:tc>
          <w:tcPr>
            <w:tcW w:w="2340" w:type="dxa"/>
            <w:tcBorders>
              <w:left w:val="single" w:color="auto" w:sz="4" w:space="0"/>
              <w:bottom w:val="single" w:color="auto" w:sz="4" w:space="0"/>
              <w:right w:val="single" w:color="auto" w:sz="4" w:space="0"/>
            </w:tcBorders>
            <w:noWrap w:val="0"/>
            <w:vAlign w:val="center"/>
          </w:tcPr>
          <w:p w14:paraId="3A851AE3">
            <w:pPr>
              <w:spacing w:line="240" w:lineRule="auto"/>
              <w:ind w:firstLine="0" w:firstLineChars="0"/>
              <w:jc w:val="center"/>
              <w:rPr>
                <w:color w:val="auto"/>
                <w:highlight w:val="none"/>
              </w:rPr>
            </w:pPr>
          </w:p>
        </w:tc>
      </w:tr>
    </w:tbl>
    <w:p w14:paraId="2CB866AC">
      <w:pPr>
        <w:ind w:firstLine="420"/>
        <w:rPr>
          <w:color w:val="auto"/>
          <w:highlight w:val="none"/>
        </w:rPr>
      </w:pPr>
      <w:r>
        <w:rPr>
          <w:rFonts w:hint="eastAsia"/>
          <w:color w:val="auto"/>
          <w:highlight w:val="none"/>
        </w:rPr>
        <w:t>注：要求详见评标办法</w:t>
      </w:r>
      <w:r>
        <w:rPr>
          <w:color w:val="auto"/>
          <w:highlight w:val="none"/>
        </w:rPr>
        <w:t xml:space="preserve"> </w:t>
      </w:r>
    </w:p>
    <w:p w14:paraId="33FB637F">
      <w:pPr>
        <w:keepNext w:val="0"/>
        <w:keepLines w:val="0"/>
        <w:pageBreakBefore w:val="0"/>
        <w:widowControl w:val="0"/>
        <w:shd w:val="clear" w:color="auto" w:fill="auto"/>
        <w:kinsoku/>
        <w:wordWrap/>
        <w:overflowPunct/>
        <w:topLinePunct w:val="0"/>
        <w:autoSpaceDE/>
        <w:autoSpaceDN/>
        <w:bidi w:val="0"/>
        <w:adjustRightInd/>
        <w:snapToGrid/>
        <w:spacing w:line="360" w:lineRule="auto"/>
        <w:ind w:firstLine="643" w:firstLineChars="200"/>
        <w:textAlignment w:val="auto"/>
        <w:rPr>
          <w:rFonts w:hint="eastAsia" w:ascii="宋体" w:hAnsi="宋体" w:eastAsia="宋体" w:cs="宋体"/>
          <w:color w:val="auto"/>
          <w:kern w:val="0"/>
          <w:sz w:val="18"/>
          <w:szCs w:val="18"/>
          <w:highlight w:val="none"/>
          <w:lang w:val="zh-CN"/>
        </w:rPr>
      </w:pPr>
      <w:r>
        <w:rPr>
          <w:rFonts w:hint="eastAsia" w:ascii="宋体" w:hAnsi="宋体" w:eastAsia="宋体" w:cs="宋体"/>
          <w:b/>
          <w:color w:val="auto"/>
          <w:kern w:val="0"/>
          <w:sz w:val="32"/>
          <w:szCs w:val="32"/>
          <w:highlight w:val="none"/>
          <w:lang w:val="zh-CN"/>
        </w:rPr>
        <w:br w:type="page"/>
      </w:r>
    </w:p>
    <w:p w14:paraId="3CEDA92B">
      <w:pPr>
        <w:shd w:val="clear" w:color="auto" w:fill="auto"/>
        <w:spacing w:beforeLines="50" w:afterLines="50" w:line="360" w:lineRule="auto"/>
        <w:jc w:val="center"/>
        <w:outlineLvl w:val="1"/>
        <w:rPr>
          <w:rFonts w:hint="eastAsia" w:ascii="宋体" w:hAnsi="宋体" w:eastAsia="宋体" w:cs="宋体"/>
          <w:b/>
          <w:color w:val="auto"/>
          <w:sz w:val="30"/>
          <w:szCs w:val="30"/>
          <w:highlight w:val="none"/>
        </w:rPr>
      </w:pPr>
      <w:bookmarkStart w:id="154" w:name="_Toc423327258"/>
      <w:bookmarkStart w:id="155" w:name="_Toc3292"/>
      <w:bookmarkStart w:id="156" w:name="_Toc271821942"/>
      <w:bookmarkStart w:id="157" w:name="_Toc5602"/>
      <w:r>
        <w:rPr>
          <w:rFonts w:hint="eastAsia" w:ascii="宋体" w:hAnsi="宋体" w:eastAsia="宋体" w:cs="宋体"/>
          <w:b/>
          <w:color w:val="auto"/>
          <w:sz w:val="30"/>
          <w:szCs w:val="30"/>
          <w:highlight w:val="none"/>
          <w:lang w:val="en-US" w:eastAsia="zh-CN"/>
        </w:rPr>
        <w:t>九</w:t>
      </w:r>
      <w:r>
        <w:rPr>
          <w:rFonts w:hint="eastAsia" w:ascii="宋体" w:hAnsi="宋体" w:eastAsia="宋体" w:cs="宋体"/>
          <w:b/>
          <w:color w:val="auto"/>
          <w:sz w:val="30"/>
          <w:szCs w:val="30"/>
          <w:highlight w:val="none"/>
        </w:rPr>
        <w:t>、其他资料</w:t>
      </w:r>
      <w:bookmarkEnd w:id="154"/>
      <w:bookmarkEnd w:id="155"/>
      <w:bookmarkEnd w:id="156"/>
      <w:bookmarkEnd w:id="157"/>
    </w:p>
    <w:p w14:paraId="0224F061">
      <w:pPr>
        <w:keepNext w:val="0"/>
        <w:keepLines w:val="0"/>
        <w:pageBreakBefore w:val="0"/>
        <w:widowControl w:val="0"/>
        <w:shd w:val="clear" w:color="auto" w:fill="auto"/>
        <w:kinsoku/>
        <w:wordWrap/>
        <w:overflowPunct/>
        <w:topLinePunct w:val="0"/>
        <w:autoSpaceDE/>
        <w:autoSpaceDN/>
        <w:bidi w:val="0"/>
        <w:adjustRightInd/>
        <w:snapToGrid/>
        <w:spacing w:line="48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1、服务承诺</w:t>
      </w:r>
    </w:p>
    <w:p w14:paraId="56B43742">
      <w:pPr>
        <w:keepNext w:val="0"/>
        <w:keepLines w:val="0"/>
        <w:pageBreakBefore w:val="0"/>
        <w:widowControl w:val="0"/>
        <w:shd w:val="clear" w:color="auto" w:fill="auto"/>
        <w:kinsoku/>
        <w:wordWrap/>
        <w:overflowPunct/>
        <w:topLinePunct w:val="0"/>
        <w:autoSpaceDE/>
        <w:autoSpaceDN/>
        <w:bidi w:val="0"/>
        <w:adjustRightInd/>
        <w:snapToGrid/>
        <w:spacing w:line="480" w:lineRule="auto"/>
        <w:textAlignment w:val="auto"/>
        <w:rPr>
          <w:rFonts w:hint="eastAsia" w:ascii="宋体" w:hAnsi="宋体" w:eastAsia="宋体" w:cs="宋体"/>
          <w:color w:val="auto"/>
          <w:highlight w:val="none"/>
        </w:rPr>
      </w:pPr>
      <w:r>
        <w:rPr>
          <w:rFonts w:hint="eastAsia" w:ascii="宋体" w:hAnsi="宋体" w:cs="宋体"/>
          <w:color w:val="auto"/>
          <w:highlight w:val="none"/>
          <w:lang w:val="en-US" w:eastAsia="zh-CN"/>
        </w:rPr>
        <w:t>2、</w:t>
      </w:r>
      <w:r>
        <w:rPr>
          <w:rFonts w:hint="eastAsia" w:ascii="宋体" w:hAnsi="宋体" w:eastAsia="宋体" w:cs="宋体"/>
          <w:color w:val="auto"/>
          <w:highlight w:val="none"/>
        </w:rPr>
        <w:t>优惠条件</w:t>
      </w:r>
    </w:p>
    <w:p w14:paraId="09D13A28">
      <w:pPr>
        <w:keepNext w:val="0"/>
        <w:keepLines w:val="0"/>
        <w:pageBreakBefore w:val="0"/>
        <w:widowControl w:val="0"/>
        <w:shd w:val="clear" w:color="auto" w:fill="auto"/>
        <w:kinsoku/>
        <w:wordWrap/>
        <w:overflowPunct/>
        <w:topLinePunct w:val="0"/>
        <w:autoSpaceDE/>
        <w:autoSpaceDN/>
        <w:bidi w:val="0"/>
        <w:adjustRightInd/>
        <w:snapToGrid/>
        <w:spacing w:line="480" w:lineRule="auto"/>
        <w:textAlignment w:val="auto"/>
        <w:rPr>
          <w:rFonts w:hint="default"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3、其他资料</w:t>
      </w:r>
    </w:p>
    <w:p w14:paraId="7940322F">
      <w:pPr>
        <w:bidi w:val="0"/>
        <w:rPr>
          <w:rFonts w:hint="eastAsia"/>
          <w:color w:val="auto"/>
          <w:highlight w:val="none"/>
        </w:rPr>
      </w:pPr>
    </w:p>
    <w:p w14:paraId="57816CD5">
      <w:pPr>
        <w:bidi w:val="0"/>
        <w:rPr>
          <w:rFonts w:hint="eastAsia"/>
          <w:color w:val="auto"/>
          <w:highlight w:val="none"/>
        </w:rPr>
      </w:pPr>
    </w:p>
    <w:p w14:paraId="1DDC0A23">
      <w:pPr>
        <w:bidi w:val="0"/>
        <w:rPr>
          <w:rFonts w:hint="eastAsia"/>
          <w:color w:val="auto"/>
          <w:highlight w:val="none"/>
        </w:rPr>
      </w:pPr>
    </w:p>
    <w:p w14:paraId="6A3A5AF1">
      <w:pPr>
        <w:bidi w:val="0"/>
        <w:rPr>
          <w:rFonts w:hint="eastAsia"/>
          <w:color w:val="auto"/>
          <w:highlight w:val="none"/>
        </w:rPr>
      </w:pPr>
    </w:p>
    <w:p w14:paraId="11BCA9E0">
      <w:pPr>
        <w:bidi w:val="0"/>
        <w:rPr>
          <w:rFonts w:hint="eastAsia"/>
          <w:color w:val="auto"/>
          <w:highlight w:val="none"/>
        </w:rPr>
      </w:pPr>
    </w:p>
    <w:p w14:paraId="5E161A8B">
      <w:pPr>
        <w:bidi w:val="0"/>
        <w:rPr>
          <w:rFonts w:hint="eastAsia"/>
          <w:color w:val="auto"/>
          <w:highlight w:val="none"/>
        </w:rPr>
      </w:pPr>
    </w:p>
    <w:p w14:paraId="6A741A75">
      <w:pPr>
        <w:bidi w:val="0"/>
        <w:rPr>
          <w:rFonts w:hint="eastAsia"/>
          <w:color w:val="auto"/>
          <w:highlight w:val="none"/>
        </w:rPr>
      </w:pPr>
    </w:p>
    <w:p w14:paraId="3B438AFB">
      <w:pPr>
        <w:bidi w:val="0"/>
        <w:rPr>
          <w:rFonts w:hint="eastAsia"/>
          <w:color w:val="auto"/>
          <w:highlight w:val="none"/>
        </w:rPr>
      </w:pPr>
    </w:p>
    <w:p w14:paraId="4C965D20">
      <w:pPr>
        <w:bidi w:val="0"/>
        <w:rPr>
          <w:rFonts w:hint="eastAsia"/>
          <w:color w:val="auto"/>
          <w:highlight w:val="none"/>
        </w:rPr>
      </w:pPr>
    </w:p>
    <w:p w14:paraId="40F8279F">
      <w:pPr>
        <w:bidi w:val="0"/>
        <w:rPr>
          <w:rFonts w:hint="eastAsia"/>
          <w:color w:val="auto"/>
          <w:highlight w:val="none"/>
        </w:rPr>
      </w:pPr>
    </w:p>
    <w:p w14:paraId="3223DA80">
      <w:pPr>
        <w:bidi w:val="0"/>
        <w:rPr>
          <w:rFonts w:hint="eastAsia"/>
          <w:color w:val="auto"/>
          <w:highlight w:val="none"/>
        </w:rPr>
      </w:pPr>
    </w:p>
    <w:p w14:paraId="5CDDDD16">
      <w:pPr>
        <w:bidi w:val="0"/>
        <w:rPr>
          <w:rFonts w:hint="eastAsia"/>
          <w:color w:val="auto"/>
          <w:highlight w:val="none"/>
        </w:rPr>
      </w:pPr>
    </w:p>
    <w:p w14:paraId="0FCE89D8">
      <w:pPr>
        <w:bidi w:val="0"/>
        <w:rPr>
          <w:rFonts w:hint="eastAsia"/>
          <w:color w:val="auto"/>
          <w:highlight w:val="none"/>
        </w:rPr>
      </w:pPr>
    </w:p>
    <w:p w14:paraId="1C7DE30F">
      <w:pPr>
        <w:bidi w:val="0"/>
        <w:rPr>
          <w:rFonts w:hint="eastAsia"/>
          <w:color w:val="auto"/>
          <w:highlight w:val="none"/>
        </w:rPr>
      </w:pPr>
    </w:p>
    <w:p w14:paraId="62453057">
      <w:pPr>
        <w:bidi w:val="0"/>
        <w:rPr>
          <w:rFonts w:hint="eastAsia"/>
          <w:color w:val="auto"/>
          <w:highlight w:val="none"/>
        </w:rPr>
      </w:pPr>
    </w:p>
    <w:p w14:paraId="072B657D">
      <w:pPr>
        <w:bidi w:val="0"/>
        <w:rPr>
          <w:rFonts w:hint="eastAsia"/>
          <w:color w:val="auto"/>
          <w:highlight w:val="none"/>
        </w:rPr>
      </w:pPr>
    </w:p>
    <w:p w14:paraId="4F80638A">
      <w:pPr>
        <w:bidi w:val="0"/>
        <w:rPr>
          <w:rFonts w:hint="eastAsia"/>
          <w:color w:val="auto"/>
          <w:highlight w:val="none"/>
        </w:rPr>
      </w:pPr>
    </w:p>
    <w:p w14:paraId="7E11627D">
      <w:pPr>
        <w:bidi w:val="0"/>
        <w:rPr>
          <w:rFonts w:hint="eastAsia"/>
          <w:color w:val="auto"/>
          <w:highlight w:val="none"/>
        </w:rPr>
      </w:pPr>
    </w:p>
    <w:p w14:paraId="53CA00B8">
      <w:pPr>
        <w:bidi w:val="0"/>
        <w:rPr>
          <w:rFonts w:hint="eastAsia"/>
          <w:color w:val="auto"/>
          <w:highlight w:val="none"/>
        </w:rPr>
      </w:pPr>
    </w:p>
    <w:p w14:paraId="21420389">
      <w:pPr>
        <w:bidi w:val="0"/>
        <w:rPr>
          <w:rFonts w:hint="eastAsia"/>
          <w:color w:val="auto"/>
          <w:highlight w:val="none"/>
        </w:rPr>
      </w:pPr>
    </w:p>
    <w:p w14:paraId="7C5E4DBA">
      <w:pPr>
        <w:bidi w:val="0"/>
        <w:rPr>
          <w:rFonts w:hint="eastAsia"/>
          <w:color w:val="auto"/>
          <w:highlight w:val="none"/>
        </w:rPr>
      </w:pPr>
    </w:p>
    <w:p w14:paraId="51B7090E">
      <w:pPr>
        <w:bidi w:val="0"/>
        <w:rPr>
          <w:rFonts w:hint="eastAsia"/>
          <w:color w:val="auto"/>
          <w:highlight w:val="none"/>
        </w:rPr>
      </w:pPr>
    </w:p>
    <w:p w14:paraId="4A5A414B">
      <w:pPr>
        <w:bidi w:val="0"/>
        <w:rPr>
          <w:rFonts w:hint="eastAsia"/>
          <w:color w:val="auto"/>
          <w:highlight w:val="none"/>
        </w:rPr>
      </w:pPr>
    </w:p>
    <w:p w14:paraId="6D6E7B02">
      <w:pPr>
        <w:bidi w:val="0"/>
        <w:rPr>
          <w:rFonts w:hint="eastAsia"/>
          <w:color w:val="auto"/>
          <w:highlight w:val="none"/>
        </w:rPr>
      </w:pPr>
    </w:p>
    <w:p w14:paraId="255EE59B">
      <w:pPr>
        <w:bidi w:val="0"/>
        <w:rPr>
          <w:rFonts w:hint="eastAsia"/>
          <w:color w:val="auto"/>
          <w:highlight w:val="none"/>
        </w:rPr>
      </w:pPr>
    </w:p>
    <w:p w14:paraId="7662458A">
      <w:pPr>
        <w:bidi w:val="0"/>
        <w:rPr>
          <w:rFonts w:hint="eastAsia"/>
          <w:color w:val="auto"/>
          <w:highlight w:val="none"/>
        </w:rPr>
      </w:pPr>
    </w:p>
    <w:p w14:paraId="34AE3AC0">
      <w:pPr>
        <w:bidi w:val="0"/>
        <w:rPr>
          <w:rFonts w:hint="eastAsia"/>
          <w:color w:val="auto"/>
          <w:highlight w:val="none"/>
        </w:rPr>
      </w:pPr>
    </w:p>
    <w:p w14:paraId="4E867177">
      <w:pPr>
        <w:keepNext w:val="0"/>
        <w:keepLines w:val="0"/>
        <w:pageBreakBefore w:val="0"/>
        <w:widowControl w:val="0"/>
        <w:shd w:val="clear" w:color="auto" w:fill="auto"/>
        <w:kinsoku/>
        <w:wordWrap/>
        <w:overflowPunct/>
        <w:topLinePunct w:val="0"/>
        <w:autoSpaceDE/>
        <w:autoSpaceDN/>
        <w:bidi w:val="0"/>
        <w:adjustRightInd/>
        <w:snapToGrid/>
        <w:spacing w:line="480" w:lineRule="auto"/>
        <w:jc w:val="center"/>
        <w:textAlignment w:val="auto"/>
        <w:rPr>
          <w:rFonts w:hint="eastAsia" w:ascii="宋体" w:hAnsi="宋体" w:eastAsia="宋体" w:cs="宋体"/>
          <w:color w:val="auto"/>
          <w:highlight w:val="none"/>
        </w:rPr>
      </w:pPr>
    </w:p>
    <w:p w14:paraId="61A8898B">
      <w:pPr>
        <w:keepNext w:val="0"/>
        <w:keepLines w:val="0"/>
        <w:pageBreakBefore w:val="0"/>
        <w:widowControl w:val="0"/>
        <w:kinsoku/>
        <w:wordWrap/>
        <w:overflowPunct/>
        <w:topLinePunct w:val="0"/>
        <w:autoSpaceDE/>
        <w:autoSpaceDN/>
        <w:bidi w:val="0"/>
        <w:adjustRightInd/>
        <w:snapToGrid/>
        <w:spacing w:line="480" w:lineRule="auto"/>
        <w:ind w:firstLine="562" w:firstLineChars="200"/>
        <w:jc w:val="center"/>
        <w:textAlignment w:val="auto"/>
        <w:outlineLvl w:val="1"/>
        <w:rPr>
          <w:rStyle w:val="24"/>
          <w:rFonts w:hint="eastAsia" w:ascii="宋体" w:hAnsi="宋体" w:eastAsia="宋体" w:cs="宋体"/>
          <w:color w:val="auto"/>
          <w:sz w:val="28"/>
          <w:szCs w:val="28"/>
          <w:highlight w:val="none"/>
        </w:rPr>
      </w:pPr>
      <w:bookmarkStart w:id="158" w:name="_Toc29541"/>
      <w:bookmarkStart w:id="159" w:name="_Toc28492"/>
      <w:bookmarkStart w:id="160" w:name="_Toc9820"/>
      <w:r>
        <w:rPr>
          <w:rStyle w:val="24"/>
          <w:rFonts w:hint="eastAsia" w:ascii="宋体" w:hAnsi="宋体" w:eastAsia="宋体" w:cs="宋体"/>
          <w:color w:val="auto"/>
          <w:sz w:val="28"/>
          <w:szCs w:val="28"/>
          <w:highlight w:val="none"/>
          <w:lang w:eastAsia="zh-CN"/>
        </w:rPr>
        <w:t>十</w:t>
      </w:r>
      <w:r>
        <w:rPr>
          <w:rStyle w:val="24"/>
          <w:rFonts w:hint="eastAsia" w:ascii="宋体" w:hAnsi="宋体" w:eastAsia="宋体" w:cs="宋体"/>
          <w:color w:val="auto"/>
          <w:sz w:val="28"/>
          <w:szCs w:val="28"/>
          <w:highlight w:val="none"/>
        </w:rPr>
        <w:t>、中小企业和残疾人福利性单位声明函</w:t>
      </w:r>
      <w:bookmarkEnd w:id="158"/>
      <w:bookmarkEnd w:id="159"/>
      <w:bookmarkEnd w:id="160"/>
    </w:p>
    <w:p w14:paraId="6208E757">
      <w:pPr>
        <w:widowControl/>
        <w:adjustRightInd w:val="0"/>
        <w:snapToGrid w:val="0"/>
        <w:spacing w:before="120" w:beforeLines="50" w:after="120" w:afterLines="50" w:line="600" w:lineRule="exact"/>
        <w:jc w:val="center"/>
        <w:rPr>
          <w:rFonts w:hint="default" w:hAnsi="宋体" w:cs="宋体"/>
          <w:b/>
          <w:color w:val="auto"/>
          <w:kern w:val="0"/>
          <w:sz w:val="32"/>
          <w:szCs w:val="32"/>
          <w:highlight w:val="none"/>
          <w:lang w:val="zh-CN" w:bidi="ar"/>
        </w:rPr>
      </w:pPr>
      <w:bookmarkStart w:id="161" w:name="_Toc105486698"/>
      <w:bookmarkStart w:id="162" w:name="_Toc105486556"/>
      <w:bookmarkStart w:id="163" w:name="_Toc105486445"/>
      <w:bookmarkStart w:id="164" w:name="OLE_LINK14"/>
      <w:bookmarkStart w:id="165" w:name="OLE_LINK13"/>
      <w:r>
        <w:rPr>
          <w:rFonts w:hint="eastAsia" w:hAnsi="宋体" w:cs="宋体"/>
          <w:b/>
          <w:color w:val="auto"/>
          <w:kern w:val="0"/>
          <w:sz w:val="32"/>
          <w:szCs w:val="32"/>
          <w:highlight w:val="none"/>
          <w:lang w:val="zh-CN" w:bidi="ar"/>
        </w:rPr>
        <w:t>（</w:t>
      </w:r>
      <w:r>
        <w:rPr>
          <w:rFonts w:hint="eastAsia" w:hAnsi="宋体" w:cs="宋体"/>
          <w:b/>
          <w:color w:val="auto"/>
          <w:kern w:val="0"/>
          <w:sz w:val="32"/>
          <w:szCs w:val="32"/>
          <w:highlight w:val="none"/>
          <w:lang w:val="en-US" w:eastAsia="zh-CN" w:bidi="ar"/>
        </w:rPr>
        <w:t>一</w:t>
      </w:r>
      <w:r>
        <w:rPr>
          <w:rFonts w:hint="eastAsia" w:hAnsi="宋体" w:cs="宋体"/>
          <w:b/>
          <w:color w:val="auto"/>
          <w:kern w:val="0"/>
          <w:sz w:val="32"/>
          <w:szCs w:val="32"/>
          <w:highlight w:val="none"/>
          <w:lang w:val="zh-CN" w:bidi="ar"/>
        </w:rPr>
        <w:t>）</w:t>
      </w:r>
      <w:r>
        <w:rPr>
          <w:rFonts w:hint="default" w:hAnsi="宋体" w:cs="宋体"/>
          <w:b/>
          <w:color w:val="auto"/>
          <w:kern w:val="0"/>
          <w:sz w:val="32"/>
          <w:szCs w:val="32"/>
          <w:highlight w:val="none"/>
          <w:lang w:val="zh-CN" w:bidi="ar"/>
        </w:rPr>
        <w:t>中小企业声明函</w:t>
      </w:r>
      <w:bookmarkEnd w:id="161"/>
      <w:bookmarkEnd w:id="162"/>
      <w:bookmarkEnd w:id="163"/>
    </w:p>
    <w:p w14:paraId="3B7C0329">
      <w:pPr>
        <w:spacing w:line="480" w:lineRule="auto"/>
        <w:ind w:firstLine="504" w:firstLineChars="200"/>
        <w:rPr>
          <w:rFonts w:hint="default" w:hAnsi="宋体" w:cs="宋体"/>
          <w:color w:val="auto"/>
          <w:spacing w:val="6"/>
          <w:sz w:val="24"/>
          <w:szCs w:val="24"/>
          <w:highlight w:val="none"/>
          <w:lang w:val="zh-CN" w:bidi="ar"/>
        </w:rPr>
      </w:pPr>
      <w:r>
        <w:rPr>
          <w:rFonts w:hint="default" w:hAnsi="宋体" w:cs="宋体"/>
          <w:color w:val="auto"/>
          <w:spacing w:val="6"/>
          <w:sz w:val="24"/>
          <w:szCs w:val="24"/>
          <w:highlight w:val="none"/>
          <w:lang w:val="zh-CN" w:bidi="ar"/>
        </w:rPr>
        <w:t>本公司郑重声明，根据《政府采购促进中小企业发展管理办法》（财库﹝2020﹞46 号）的规定，本公司参加</w:t>
      </w:r>
      <w:r>
        <w:rPr>
          <w:rFonts w:hint="eastAsia" w:hAnsi="宋体" w:cs="宋体"/>
          <w:color w:val="auto"/>
          <w:spacing w:val="6"/>
          <w:sz w:val="24"/>
          <w:szCs w:val="24"/>
          <w:highlight w:val="none"/>
          <w:u w:val="single"/>
          <w:lang w:val="en-US" w:eastAsia="zh-CN" w:bidi="ar"/>
        </w:rPr>
        <w:t xml:space="preserve">        </w:t>
      </w:r>
      <w:r>
        <w:rPr>
          <w:rFonts w:hint="default" w:hAnsi="宋体" w:cs="宋体"/>
          <w:color w:val="auto"/>
          <w:spacing w:val="6"/>
          <w:sz w:val="24"/>
          <w:szCs w:val="24"/>
          <w:highlight w:val="none"/>
          <w:lang w:val="zh-CN" w:bidi="ar"/>
        </w:rPr>
        <w:t>（单位名称）的</w:t>
      </w:r>
      <w:r>
        <w:rPr>
          <w:rFonts w:hint="eastAsia" w:hAnsi="宋体" w:cs="宋体"/>
          <w:color w:val="auto"/>
          <w:spacing w:val="6"/>
          <w:sz w:val="24"/>
          <w:szCs w:val="24"/>
          <w:highlight w:val="none"/>
          <w:u w:val="single"/>
          <w:lang w:val="en-US" w:eastAsia="zh-CN" w:bidi="ar"/>
        </w:rPr>
        <w:t xml:space="preserve">       </w:t>
      </w:r>
      <w:r>
        <w:rPr>
          <w:rFonts w:hint="default" w:hAnsi="宋体" w:cs="宋体"/>
          <w:color w:val="auto"/>
          <w:spacing w:val="6"/>
          <w:sz w:val="24"/>
          <w:szCs w:val="24"/>
          <w:highlight w:val="none"/>
          <w:lang w:val="zh-CN" w:bidi="ar"/>
        </w:rPr>
        <w:t>（项目名称）采购活动，</w:t>
      </w:r>
      <w:r>
        <w:rPr>
          <w:rFonts w:hint="eastAsia" w:hAnsi="宋体" w:cs="宋体"/>
          <w:color w:val="auto"/>
          <w:spacing w:val="6"/>
          <w:sz w:val="24"/>
          <w:szCs w:val="24"/>
          <w:highlight w:val="none"/>
          <w:lang w:val="en-US" w:eastAsia="zh-CN" w:bidi="ar"/>
        </w:rPr>
        <w:t>货物全部由符合政策要求的中小企业制造</w:t>
      </w:r>
      <w:r>
        <w:rPr>
          <w:rFonts w:hint="default" w:hAnsi="宋体" w:cs="宋体"/>
          <w:color w:val="auto"/>
          <w:spacing w:val="6"/>
          <w:sz w:val="24"/>
          <w:szCs w:val="24"/>
          <w:highlight w:val="none"/>
          <w:lang w:val="zh-CN" w:bidi="ar"/>
        </w:rPr>
        <w:t>。</w:t>
      </w:r>
    </w:p>
    <w:p w14:paraId="0942C554">
      <w:pPr>
        <w:spacing w:line="480" w:lineRule="auto"/>
        <w:ind w:firstLine="504" w:firstLineChars="200"/>
        <w:rPr>
          <w:rFonts w:hint="default" w:hAnsi="宋体" w:cs="宋体"/>
          <w:color w:val="auto"/>
          <w:spacing w:val="6"/>
          <w:sz w:val="24"/>
          <w:szCs w:val="24"/>
          <w:highlight w:val="none"/>
          <w:lang w:val="zh-CN" w:bidi="ar"/>
        </w:rPr>
      </w:pPr>
      <w:r>
        <w:rPr>
          <w:rFonts w:hint="default" w:hAnsi="宋体" w:cs="宋体"/>
          <w:color w:val="auto"/>
          <w:spacing w:val="6"/>
          <w:sz w:val="24"/>
          <w:szCs w:val="24"/>
          <w:highlight w:val="none"/>
          <w:lang w:val="zh-CN" w:bidi="ar"/>
        </w:rPr>
        <w:t>相关企业的具体情况如下：</w:t>
      </w:r>
    </w:p>
    <w:p w14:paraId="690C5B54">
      <w:pPr>
        <w:numPr>
          <w:ilvl w:val="0"/>
          <w:numId w:val="2"/>
        </w:numPr>
        <w:spacing w:line="480" w:lineRule="auto"/>
        <w:ind w:firstLine="504" w:firstLineChars="200"/>
        <w:rPr>
          <w:rFonts w:hint="default" w:hAnsi="宋体" w:cs="宋体"/>
          <w:color w:val="auto"/>
          <w:spacing w:val="6"/>
          <w:sz w:val="24"/>
          <w:szCs w:val="24"/>
          <w:highlight w:val="none"/>
          <w:lang w:bidi="ar"/>
        </w:rPr>
      </w:pPr>
      <w:r>
        <w:rPr>
          <w:rFonts w:hint="eastAsia" w:hAnsi="宋体" w:cs="宋体"/>
          <w:color w:val="auto"/>
          <w:spacing w:val="6"/>
          <w:sz w:val="24"/>
          <w:szCs w:val="24"/>
          <w:highlight w:val="none"/>
          <w:u w:val="single"/>
          <w:lang w:val="en-US" w:eastAsia="zh-CN" w:bidi="ar"/>
        </w:rPr>
        <w:t xml:space="preserve">        </w:t>
      </w:r>
      <w:r>
        <w:rPr>
          <w:rFonts w:hint="default" w:hAnsi="宋体" w:cs="宋体"/>
          <w:color w:val="auto"/>
          <w:spacing w:val="6"/>
          <w:sz w:val="24"/>
          <w:szCs w:val="24"/>
          <w:highlight w:val="none"/>
          <w:lang w:val="zh-CN" w:bidi="ar"/>
        </w:rPr>
        <w:t>（标的名称），属于</w:t>
      </w:r>
      <w:r>
        <w:rPr>
          <w:rFonts w:hint="eastAsia" w:hAnsi="宋体" w:cs="宋体"/>
          <w:color w:val="auto"/>
          <w:spacing w:val="6"/>
          <w:sz w:val="24"/>
          <w:szCs w:val="24"/>
          <w:highlight w:val="none"/>
          <w:u w:val="single"/>
          <w:lang w:val="en-US" w:eastAsia="zh-CN" w:bidi="ar"/>
        </w:rPr>
        <w:t>工业</w:t>
      </w:r>
      <w:r>
        <w:rPr>
          <w:rFonts w:hint="default" w:hAnsi="宋体" w:cs="宋体"/>
          <w:color w:val="auto"/>
          <w:spacing w:val="6"/>
          <w:sz w:val="24"/>
          <w:szCs w:val="24"/>
          <w:highlight w:val="none"/>
          <w:lang w:val="zh-CN" w:bidi="ar"/>
        </w:rPr>
        <w:t>（采购文件中明确的所属行业）；</w:t>
      </w:r>
      <w:r>
        <w:rPr>
          <w:rFonts w:hint="default" w:hAnsi="宋体" w:cs="宋体"/>
          <w:color w:val="auto"/>
          <w:spacing w:val="6"/>
          <w:sz w:val="24"/>
          <w:szCs w:val="24"/>
          <w:highlight w:val="none"/>
          <w:lang w:bidi="ar"/>
        </w:rPr>
        <w:t>承接企业为</w:t>
      </w:r>
      <w:r>
        <w:rPr>
          <w:rFonts w:hint="eastAsia" w:hAnsi="宋体" w:cs="宋体"/>
          <w:color w:val="auto"/>
          <w:spacing w:val="6"/>
          <w:sz w:val="24"/>
          <w:szCs w:val="24"/>
          <w:highlight w:val="none"/>
          <w:u w:val="single"/>
          <w:lang w:val="en-US" w:eastAsia="zh-CN" w:bidi="ar"/>
        </w:rPr>
        <w:t xml:space="preserve">       </w:t>
      </w:r>
      <w:r>
        <w:rPr>
          <w:rFonts w:hint="default" w:hAnsi="宋体" w:cs="宋体"/>
          <w:color w:val="auto"/>
          <w:spacing w:val="6"/>
          <w:sz w:val="24"/>
          <w:szCs w:val="24"/>
          <w:highlight w:val="none"/>
          <w:lang w:bidi="ar"/>
        </w:rPr>
        <w:t>（企业名称），从业人员</w:t>
      </w:r>
      <w:r>
        <w:rPr>
          <w:rFonts w:hint="default" w:hAnsi="宋体" w:cs="宋体"/>
          <w:color w:val="auto"/>
          <w:spacing w:val="6"/>
          <w:sz w:val="24"/>
          <w:szCs w:val="24"/>
          <w:highlight w:val="none"/>
          <w:u w:val="single"/>
          <w:lang w:bidi="ar"/>
        </w:rPr>
        <w:t xml:space="preserve">    </w:t>
      </w:r>
      <w:r>
        <w:rPr>
          <w:rFonts w:hint="default" w:hAnsi="宋体" w:cs="宋体"/>
          <w:color w:val="auto"/>
          <w:spacing w:val="6"/>
          <w:sz w:val="24"/>
          <w:szCs w:val="24"/>
          <w:highlight w:val="none"/>
          <w:lang w:bidi="ar"/>
        </w:rPr>
        <w:t>人，营业收入为</w:t>
      </w:r>
      <w:r>
        <w:rPr>
          <w:rFonts w:hint="default" w:hAnsi="宋体" w:cs="宋体"/>
          <w:color w:val="auto"/>
          <w:spacing w:val="6"/>
          <w:sz w:val="24"/>
          <w:szCs w:val="24"/>
          <w:highlight w:val="none"/>
          <w:u w:val="single"/>
          <w:lang w:bidi="ar"/>
        </w:rPr>
        <w:t xml:space="preserve">    </w:t>
      </w:r>
      <w:r>
        <w:rPr>
          <w:rFonts w:hint="default" w:hAnsi="宋体" w:cs="宋体"/>
          <w:color w:val="auto"/>
          <w:spacing w:val="6"/>
          <w:sz w:val="24"/>
          <w:szCs w:val="24"/>
          <w:highlight w:val="none"/>
          <w:lang w:bidi="ar"/>
        </w:rPr>
        <w:t>万元，资产总额为</w:t>
      </w:r>
      <w:r>
        <w:rPr>
          <w:rFonts w:hint="default" w:hAnsi="宋体" w:cs="宋体"/>
          <w:color w:val="auto"/>
          <w:spacing w:val="6"/>
          <w:sz w:val="24"/>
          <w:szCs w:val="24"/>
          <w:highlight w:val="none"/>
          <w:u w:val="single"/>
          <w:lang w:bidi="ar"/>
        </w:rPr>
        <w:t xml:space="preserve">    </w:t>
      </w:r>
      <w:r>
        <w:rPr>
          <w:rFonts w:hint="default" w:hAnsi="宋体" w:cs="宋体"/>
          <w:color w:val="auto"/>
          <w:spacing w:val="6"/>
          <w:sz w:val="24"/>
          <w:szCs w:val="24"/>
          <w:highlight w:val="none"/>
          <w:lang w:bidi="ar"/>
        </w:rPr>
        <w:t>万元，属于</w:t>
      </w:r>
      <w:r>
        <w:rPr>
          <w:rFonts w:hint="eastAsia" w:hAnsi="宋体" w:cs="宋体"/>
          <w:color w:val="auto"/>
          <w:spacing w:val="6"/>
          <w:sz w:val="24"/>
          <w:szCs w:val="24"/>
          <w:highlight w:val="none"/>
          <w:u w:val="single"/>
          <w:lang w:val="en-US" w:eastAsia="zh-CN" w:bidi="ar"/>
        </w:rPr>
        <w:t xml:space="preserve">      </w:t>
      </w:r>
      <w:r>
        <w:rPr>
          <w:rFonts w:hint="default" w:hAnsi="宋体" w:cs="宋体"/>
          <w:color w:val="auto"/>
          <w:spacing w:val="6"/>
          <w:sz w:val="24"/>
          <w:szCs w:val="24"/>
          <w:highlight w:val="none"/>
          <w:lang w:bidi="ar"/>
        </w:rPr>
        <w:t>（中型企业、小型企业、微型企业）；</w:t>
      </w:r>
    </w:p>
    <w:p w14:paraId="4E706733">
      <w:pPr>
        <w:spacing w:line="480" w:lineRule="auto"/>
        <w:ind w:firstLine="504" w:firstLineChars="200"/>
        <w:rPr>
          <w:rFonts w:hint="default" w:hAnsi="宋体" w:cs="宋体"/>
          <w:color w:val="auto"/>
          <w:spacing w:val="6"/>
          <w:sz w:val="24"/>
          <w:szCs w:val="24"/>
          <w:highlight w:val="none"/>
          <w:lang w:val="zh-CN" w:bidi="ar"/>
        </w:rPr>
      </w:pPr>
      <w:r>
        <w:rPr>
          <w:rFonts w:hint="default" w:hAnsi="宋体" w:cs="宋体"/>
          <w:color w:val="auto"/>
          <w:spacing w:val="6"/>
          <w:sz w:val="24"/>
          <w:szCs w:val="24"/>
          <w:highlight w:val="none"/>
          <w:lang w:val="zh-CN" w:bidi="ar"/>
        </w:rPr>
        <w:t>……</w:t>
      </w:r>
    </w:p>
    <w:p w14:paraId="610DBA76">
      <w:pPr>
        <w:spacing w:line="480" w:lineRule="auto"/>
        <w:ind w:firstLine="504" w:firstLineChars="200"/>
        <w:rPr>
          <w:rFonts w:hint="default" w:hAnsi="宋体" w:cs="宋体"/>
          <w:color w:val="auto"/>
          <w:spacing w:val="6"/>
          <w:sz w:val="24"/>
          <w:szCs w:val="24"/>
          <w:highlight w:val="none"/>
          <w:lang w:val="zh-CN" w:bidi="ar"/>
        </w:rPr>
      </w:pPr>
      <w:r>
        <w:rPr>
          <w:rFonts w:hint="default" w:hAnsi="宋体" w:cs="宋体"/>
          <w:color w:val="auto"/>
          <w:spacing w:val="6"/>
          <w:sz w:val="24"/>
          <w:szCs w:val="24"/>
          <w:highlight w:val="none"/>
          <w:lang w:val="zh-CN" w:bidi="ar"/>
        </w:rPr>
        <w:t>以上企业，不属于大企业的分支机构，不存在控股股东为大企业的情形，也不存在与大企业的负责人为同一人的情形。</w:t>
      </w:r>
    </w:p>
    <w:p w14:paraId="0C35742B">
      <w:pPr>
        <w:spacing w:line="480" w:lineRule="auto"/>
        <w:ind w:firstLine="504" w:firstLineChars="200"/>
        <w:rPr>
          <w:rFonts w:hint="default" w:hAnsi="宋体" w:cs="宋体"/>
          <w:color w:val="auto"/>
          <w:spacing w:val="6"/>
          <w:sz w:val="24"/>
          <w:szCs w:val="24"/>
          <w:highlight w:val="none"/>
          <w:lang w:val="zh-CN" w:bidi="ar"/>
        </w:rPr>
      </w:pPr>
      <w:r>
        <w:rPr>
          <w:rFonts w:hint="default" w:hAnsi="宋体" w:cs="宋体"/>
          <w:color w:val="auto"/>
          <w:spacing w:val="6"/>
          <w:sz w:val="24"/>
          <w:szCs w:val="24"/>
          <w:highlight w:val="none"/>
          <w:lang w:val="zh-CN" w:bidi="ar"/>
        </w:rPr>
        <w:t>本企业对上述声明内容的真实性负责。如有虚假，将依法承担相应责任。</w:t>
      </w:r>
    </w:p>
    <w:p w14:paraId="61D96998">
      <w:pPr>
        <w:spacing w:line="480" w:lineRule="auto"/>
        <w:ind w:firstLine="504" w:firstLineChars="200"/>
        <w:rPr>
          <w:rFonts w:hint="default" w:hAnsi="宋体" w:eastAsia="宋体" w:cs="宋体"/>
          <w:color w:val="auto"/>
          <w:spacing w:val="6"/>
          <w:sz w:val="24"/>
          <w:szCs w:val="24"/>
          <w:highlight w:val="none"/>
          <w:lang w:val="en-US" w:eastAsia="zh-CN" w:bidi="ar"/>
        </w:rPr>
      </w:pPr>
      <w:r>
        <w:rPr>
          <w:rFonts w:hint="default" w:hAnsi="宋体" w:cs="宋体"/>
          <w:color w:val="auto"/>
          <w:spacing w:val="6"/>
          <w:sz w:val="24"/>
          <w:szCs w:val="24"/>
          <w:highlight w:val="none"/>
          <w:lang w:val="zh-CN" w:bidi="ar"/>
        </w:rPr>
        <w:t>企业名称（盖章）</w:t>
      </w:r>
      <w:r>
        <w:rPr>
          <w:rFonts w:hint="eastAsia" w:hAnsi="宋体" w:cs="宋体"/>
          <w:color w:val="auto"/>
          <w:spacing w:val="6"/>
          <w:sz w:val="24"/>
          <w:szCs w:val="24"/>
          <w:highlight w:val="none"/>
          <w:u w:val="single"/>
          <w:lang w:val="en-US" w:eastAsia="zh-CN" w:bidi="ar"/>
        </w:rPr>
        <w:t xml:space="preserve">           </w:t>
      </w:r>
    </w:p>
    <w:p w14:paraId="7D251E00">
      <w:pPr>
        <w:spacing w:line="480" w:lineRule="auto"/>
        <w:ind w:firstLine="504" w:firstLineChars="200"/>
        <w:rPr>
          <w:rFonts w:hint="default" w:hAnsi="宋体" w:cs="宋体"/>
          <w:color w:val="auto"/>
          <w:spacing w:val="6"/>
          <w:sz w:val="24"/>
          <w:szCs w:val="24"/>
          <w:highlight w:val="none"/>
          <w:lang w:bidi="ar"/>
        </w:rPr>
      </w:pPr>
      <w:r>
        <w:rPr>
          <w:rFonts w:hint="default" w:hAnsi="宋体" w:cs="宋体"/>
          <w:color w:val="auto"/>
          <w:spacing w:val="6"/>
          <w:sz w:val="24"/>
          <w:szCs w:val="24"/>
          <w:highlight w:val="none"/>
          <w:lang w:val="zh-CN" w:bidi="ar"/>
        </w:rPr>
        <w:t>日期：</w:t>
      </w:r>
    </w:p>
    <w:p w14:paraId="1A4ACB36">
      <w:pPr>
        <w:spacing w:line="360" w:lineRule="auto"/>
        <w:ind w:firstLine="444" w:firstLineChars="200"/>
        <w:jc w:val="left"/>
        <w:rPr>
          <w:rFonts w:hint="eastAsia" w:hAnsi="宋体" w:cs="宋体"/>
          <w:color w:val="auto"/>
          <w:sz w:val="24"/>
          <w:szCs w:val="24"/>
          <w:highlight w:val="none"/>
        </w:rPr>
      </w:pPr>
      <w:r>
        <w:rPr>
          <w:rFonts w:hint="default" w:hAnsi="宋体" w:cs="宋体"/>
          <w:color w:val="auto"/>
          <w:spacing w:val="6"/>
          <w:sz w:val="21"/>
          <w:szCs w:val="21"/>
          <w:highlight w:val="none"/>
          <w:lang w:bidi="ar"/>
        </w:rPr>
        <w:t>从业人员、营业收入、资产总额填报上一年度数据，无上一年度数据的新成立企业可不填报。</w:t>
      </w:r>
    </w:p>
    <w:p w14:paraId="18E23E4C">
      <w:pPr>
        <w:spacing w:line="360" w:lineRule="auto"/>
        <w:ind w:firstLine="480" w:firstLineChars="200"/>
        <w:jc w:val="left"/>
        <w:rPr>
          <w:rFonts w:hint="eastAsia" w:hAnsi="宋体" w:cs="宋体"/>
          <w:color w:val="auto"/>
          <w:sz w:val="24"/>
          <w:szCs w:val="24"/>
          <w:highlight w:val="none"/>
        </w:rPr>
      </w:pPr>
    </w:p>
    <w:p w14:paraId="7A8DD8EE">
      <w:pPr>
        <w:spacing w:line="360" w:lineRule="auto"/>
        <w:ind w:firstLine="480" w:firstLineChars="200"/>
        <w:jc w:val="left"/>
        <w:rPr>
          <w:rFonts w:hint="eastAsia" w:hAnsi="宋体" w:cs="宋体"/>
          <w:color w:val="auto"/>
          <w:sz w:val="24"/>
          <w:szCs w:val="24"/>
          <w:highlight w:val="none"/>
        </w:rPr>
      </w:pPr>
    </w:p>
    <w:p w14:paraId="6A473DB2">
      <w:pPr>
        <w:spacing w:line="360" w:lineRule="auto"/>
        <w:ind w:firstLine="480" w:firstLineChars="200"/>
        <w:jc w:val="left"/>
        <w:rPr>
          <w:rFonts w:hint="eastAsia" w:hAnsi="宋体" w:cs="宋体"/>
          <w:color w:val="auto"/>
          <w:sz w:val="24"/>
          <w:szCs w:val="24"/>
          <w:highlight w:val="none"/>
        </w:rPr>
      </w:pPr>
    </w:p>
    <w:p w14:paraId="730F2028">
      <w:pPr>
        <w:spacing w:line="360" w:lineRule="auto"/>
        <w:ind w:firstLine="480" w:firstLineChars="200"/>
        <w:jc w:val="left"/>
        <w:rPr>
          <w:rFonts w:hint="eastAsia" w:hAnsi="宋体" w:cs="宋体"/>
          <w:color w:val="auto"/>
          <w:sz w:val="24"/>
          <w:szCs w:val="24"/>
          <w:highlight w:val="none"/>
        </w:rPr>
      </w:pPr>
    </w:p>
    <w:p w14:paraId="7296AA38">
      <w:pPr>
        <w:spacing w:line="360" w:lineRule="auto"/>
        <w:ind w:firstLine="480" w:firstLineChars="200"/>
        <w:jc w:val="left"/>
        <w:rPr>
          <w:rFonts w:hint="eastAsia" w:hAnsi="宋体" w:cs="宋体"/>
          <w:color w:val="auto"/>
          <w:sz w:val="24"/>
          <w:szCs w:val="24"/>
          <w:highlight w:val="none"/>
        </w:rPr>
      </w:pPr>
    </w:p>
    <w:p w14:paraId="475F5077">
      <w:pPr>
        <w:spacing w:line="360" w:lineRule="auto"/>
        <w:ind w:firstLine="480" w:firstLineChars="200"/>
        <w:jc w:val="left"/>
        <w:rPr>
          <w:rFonts w:hint="eastAsia" w:hAnsi="宋体" w:cs="宋体"/>
          <w:color w:val="auto"/>
          <w:sz w:val="24"/>
          <w:szCs w:val="24"/>
          <w:highlight w:val="none"/>
        </w:rPr>
      </w:pPr>
    </w:p>
    <w:p w14:paraId="5B461D2C">
      <w:pPr>
        <w:spacing w:line="360" w:lineRule="auto"/>
        <w:ind w:firstLine="480" w:firstLineChars="200"/>
        <w:jc w:val="left"/>
        <w:rPr>
          <w:rFonts w:hint="eastAsia" w:hAnsi="宋体" w:cs="宋体"/>
          <w:color w:val="auto"/>
          <w:sz w:val="24"/>
          <w:szCs w:val="24"/>
          <w:highlight w:val="none"/>
        </w:rPr>
      </w:pPr>
    </w:p>
    <w:p w14:paraId="1010EBE7">
      <w:pPr>
        <w:spacing w:line="36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附表</w:t>
      </w:r>
    </w:p>
    <w:p w14:paraId="56A5FCAC">
      <w:pPr>
        <w:widowControl/>
        <w:spacing w:line="330" w:lineRule="atLeast"/>
        <w:jc w:val="center"/>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大中小微型企业划分标准</w:t>
      </w:r>
    </w:p>
    <w:tbl>
      <w:tblPr>
        <w:tblStyle w:val="16"/>
        <w:tblW w:w="94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4"/>
        <w:gridCol w:w="1369"/>
        <w:gridCol w:w="709"/>
        <w:gridCol w:w="1125"/>
        <w:gridCol w:w="1701"/>
        <w:gridCol w:w="1426"/>
        <w:gridCol w:w="992"/>
      </w:tblGrid>
      <w:tr w14:paraId="4E240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exact"/>
          <w:jc w:val="center"/>
        </w:trPr>
        <w:tc>
          <w:tcPr>
            <w:tcW w:w="2114" w:type="dxa"/>
            <w:tcBorders>
              <w:tl2br w:val="nil"/>
              <w:tr2bl w:val="nil"/>
            </w:tcBorders>
            <w:noWrap w:val="0"/>
            <w:vAlign w:val="center"/>
          </w:tcPr>
          <w:p w14:paraId="76E7AA9C">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行业名称</w:t>
            </w:r>
          </w:p>
        </w:tc>
        <w:tc>
          <w:tcPr>
            <w:tcW w:w="1369" w:type="dxa"/>
            <w:tcBorders>
              <w:tl2br w:val="nil"/>
              <w:tr2bl w:val="nil"/>
            </w:tcBorders>
            <w:noWrap w:val="0"/>
            <w:vAlign w:val="center"/>
          </w:tcPr>
          <w:p w14:paraId="1A35ED1E">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指标名称</w:t>
            </w:r>
          </w:p>
        </w:tc>
        <w:tc>
          <w:tcPr>
            <w:tcW w:w="709" w:type="dxa"/>
            <w:tcBorders>
              <w:tl2br w:val="nil"/>
              <w:tr2bl w:val="nil"/>
            </w:tcBorders>
            <w:noWrap w:val="0"/>
            <w:vAlign w:val="center"/>
          </w:tcPr>
          <w:p w14:paraId="3D2615E3">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计量</w:t>
            </w:r>
          </w:p>
          <w:p w14:paraId="226FC1BD">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单位</w:t>
            </w:r>
          </w:p>
        </w:tc>
        <w:tc>
          <w:tcPr>
            <w:tcW w:w="1125" w:type="dxa"/>
            <w:tcBorders>
              <w:tl2br w:val="nil"/>
              <w:tr2bl w:val="nil"/>
            </w:tcBorders>
            <w:noWrap w:val="0"/>
            <w:vAlign w:val="center"/>
          </w:tcPr>
          <w:p w14:paraId="191D4977">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大型</w:t>
            </w:r>
          </w:p>
        </w:tc>
        <w:tc>
          <w:tcPr>
            <w:tcW w:w="1701" w:type="dxa"/>
            <w:tcBorders>
              <w:tl2br w:val="nil"/>
              <w:tr2bl w:val="nil"/>
            </w:tcBorders>
            <w:noWrap w:val="0"/>
            <w:vAlign w:val="center"/>
          </w:tcPr>
          <w:p w14:paraId="1028542F">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中型</w:t>
            </w:r>
          </w:p>
        </w:tc>
        <w:tc>
          <w:tcPr>
            <w:tcW w:w="1426" w:type="dxa"/>
            <w:tcBorders>
              <w:tl2br w:val="nil"/>
              <w:tr2bl w:val="nil"/>
            </w:tcBorders>
            <w:noWrap w:val="0"/>
            <w:vAlign w:val="center"/>
          </w:tcPr>
          <w:p w14:paraId="689BF94C">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小型</w:t>
            </w:r>
          </w:p>
        </w:tc>
        <w:tc>
          <w:tcPr>
            <w:tcW w:w="992" w:type="dxa"/>
            <w:tcBorders>
              <w:tl2br w:val="nil"/>
              <w:tr2bl w:val="nil"/>
            </w:tcBorders>
            <w:noWrap w:val="0"/>
            <w:vAlign w:val="center"/>
          </w:tcPr>
          <w:p w14:paraId="3DB4AA61">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微型</w:t>
            </w:r>
          </w:p>
        </w:tc>
      </w:tr>
      <w:tr w14:paraId="68FC5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exact"/>
          <w:jc w:val="center"/>
        </w:trPr>
        <w:tc>
          <w:tcPr>
            <w:tcW w:w="2114" w:type="dxa"/>
            <w:tcBorders>
              <w:tl2br w:val="nil"/>
              <w:tr2bl w:val="nil"/>
            </w:tcBorders>
            <w:noWrap w:val="0"/>
            <w:vAlign w:val="center"/>
          </w:tcPr>
          <w:p w14:paraId="1F0B17CA">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农、林、牧、渔业</w:t>
            </w:r>
          </w:p>
        </w:tc>
        <w:tc>
          <w:tcPr>
            <w:tcW w:w="1369" w:type="dxa"/>
            <w:tcBorders>
              <w:tl2br w:val="nil"/>
              <w:tr2bl w:val="nil"/>
            </w:tcBorders>
            <w:noWrap w:val="0"/>
            <w:vAlign w:val="center"/>
          </w:tcPr>
          <w:p w14:paraId="38812025">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709" w:type="dxa"/>
            <w:tcBorders>
              <w:tl2br w:val="nil"/>
              <w:tr2bl w:val="nil"/>
            </w:tcBorders>
            <w:noWrap w:val="0"/>
            <w:vAlign w:val="center"/>
          </w:tcPr>
          <w:p w14:paraId="0B97BBAF">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25" w:type="dxa"/>
            <w:tcBorders>
              <w:tl2br w:val="nil"/>
              <w:tr2bl w:val="nil"/>
            </w:tcBorders>
            <w:noWrap w:val="0"/>
            <w:vAlign w:val="center"/>
          </w:tcPr>
          <w:p w14:paraId="1C30CA8D">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Y≥20000</w:t>
            </w:r>
          </w:p>
        </w:tc>
        <w:tc>
          <w:tcPr>
            <w:tcW w:w="1701" w:type="dxa"/>
            <w:tcBorders>
              <w:tl2br w:val="nil"/>
              <w:tr2bl w:val="nil"/>
            </w:tcBorders>
            <w:noWrap w:val="0"/>
            <w:vAlign w:val="center"/>
          </w:tcPr>
          <w:p w14:paraId="1AEA7F67">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500≤Y＜20000</w:t>
            </w:r>
          </w:p>
        </w:tc>
        <w:tc>
          <w:tcPr>
            <w:tcW w:w="1426" w:type="dxa"/>
            <w:tcBorders>
              <w:tl2br w:val="nil"/>
              <w:tr2bl w:val="nil"/>
            </w:tcBorders>
            <w:noWrap w:val="0"/>
            <w:vAlign w:val="center"/>
          </w:tcPr>
          <w:p w14:paraId="18B26449">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50≤Y＜500</w:t>
            </w:r>
          </w:p>
        </w:tc>
        <w:tc>
          <w:tcPr>
            <w:tcW w:w="992" w:type="dxa"/>
            <w:tcBorders>
              <w:tl2br w:val="nil"/>
              <w:tr2bl w:val="nil"/>
            </w:tcBorders>
            <w:noWrap w:val="0"/>
            <w:vAlign w:val="center"/>
          </w:tcPr>
          <w:p w14:paraId="4C81D76B">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Y＜50</w:t>
            </w:r>
          </w:p>
        </w:tc>
      </w:tr>
      <w:tr w14:paraId="3A0EC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exact"/>
          <w:jc w:val="center"/>
        </w:trPr>
        <w:tc>
          <w:tcPr>
            <w:tcW w:w="2114" w:type="dxa"/>
            <w:vMerge w:val="restart"/>
            <w:tcBorders>
              <w:tl2br w:val="nil"/>
              <w:tr2bl w:val="nil"/>
            </w:tcBorders>
            <w:noWrap w:val="0"/>
            <w:vAlign w:val="center"/>
          </w:tcPr>
          <w:p w14:paraId="792576C6">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工业 *</w:t>
            </w:r>
          </w:p>
        </w:tc>
        <w:tc>
          <w:tcPr>
            <w:tcW w:w="1369" w:type="dxa"/>
            <w:tcBorders>
              <w:tl2br w:val="nil"/>
              <w:tr2bl w:val="nil"/>
            </w:tcBorders>
            <w:noWrap w:val="0"/>
            <w:vAlign w:val="center"/>
          </w:tcPr>
          <w:p w14:paraId="0223D136">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709" w:type="dxa"/>
            <w:tcBorders>
              <w:tl2br w:val="nil"/>
              <w:tr2bl w:val="nil"/>
            </w:tcBorders>
            <w:noWrap w:val="0"/>
            <w:vAlign w:val="center"/>
          </w:tcPr>
          <w:p w14:paraId="140E74E0">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25" w:type="dxa"/>
            <w:tcBorders>
              <w:tl2br w:val="nil"/>
              <w:tr2bl w:val="nil"/>
            </w:tcBorders>
            <w:noWrap w:val="0"/>
            <w:vAlign w:val="center"/>
          </w:tcPr>
          <w:p w14:paraId="5891D9D9">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X≥1000</w:t>
            </w:r>
          </w:p>
        </w:tc>
        <w:tc>
          <w:tcPr>
            <w:tcW w:w="1701" w:type="dxa"/>
            <w:tcBorders>
              <w:tl2br w:val="nil"/>
              <w:tr2bl w:val="nil"/>
            </w:tcBorders>
            <w:noWrap w:val="0"/>
            <w:vAlign w:val="center"/>
          </w:tcPr>
          <w:p w14:paraId="5905807E">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300≤X＜1000</w:t>
            </w:r>
          </w:p>
        </w:tc>
        <w:tc>
          <w:tcPr>
            <w:tcW w:w="1426" w:type="dxa"/>
            <w:tcBorders>
              <w:tl2br w:val="nil"/>
              <w:tr2bl w:val="nil"/>
            </w:tcBorders>
            <w:noWrap w:val="0"/>
            <w:vAlign w:val="center"/>
          </w:tcPr>
          <w:p w14:paraId="004432FB">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20≤X＜300</w:t>
            </w:r>
          </w:p>
        </w:tc>
        <w:tc>
          <w:tcPr>
            <w:tcW w:w="992" w:type="dxa"/>
            <w:tcBorders>
              <w:tl2br w:val="nil"/>
              <w:tr2bl w:val="nil"/>
            </w:tcBorders>
            <w:noWrap w:val="0"/>
            <w:vAlign w:val="center"/>
          </w:tcPr>
          <w:p w14:paraId="497A30DF">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X＜20</w:t>
            </w:r>
          </w:p>
        </w:tc>
      </w:tr>
      <w:tr w14:paraId="38575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6" w:hRule="exact"/>
          <w:jc w:val="center"/>
        </w:trPr>
        <w:tc>
          <w:tcPr>
            <w:tcW w:w="2114" w:type="dxa"/>
            <w:vMerge w:val="continue"/>
            <w:tcBorders>
              <w:tl2br w:val="nil"/>
              <w:tr2bl w:val="nil"/>
            </w:tcBorders>
            <w:noWrap w:val="0"/>
            <w:vAlign w:val="center"/>
          </w:tcPr>
          <w:p w14:paraId="5C5AFDC3">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p>
        </w:tc>
        <w:tc>
          <w:tcPr>
            <w:tcW w:w="1369" w:type="dxa"/>
            <w:tcBorders>
              <w:tl2br w:val="nil"/>
              <w:tr2bl w:val="nil"/>
            </w:tcBorders>
            <w:noWrap w:val="0"/>
            <w:vAlign w:val="center"/>
          </w:tcPr>
          <w:p w14:paraId="4FEEE85C">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709" w:type="dxa"/>
            <w:tcBorders>
              <w:tl2br w:val="nil"/>
              <w:tr2bl w:val="nil"/>
            </w:tcBorders>
            <w:noWrap w:val="0"/>
            <w:vAlign w:val="center"/>
          </w:tcPr>
          <w:p w14:paraId="4B08159C">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25" w:type="dxa"/>
            <w:tcBorders>
              <w:tl2br w:val="nil"/>
              <w:tr2bl w:val="nil"/>
            </w:tcBorders>
            <w:noWrap w:val="0"/>
            <w:vAlign w:val="center"/>
          </w:tcPr>
          <w:p w14:paraId="4AC50E8B">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Y≥40000</w:t>
            </w:r>
          </w:p>
        </w:tc>
        <w:tc>
          <w:tcPr>
            <w:tcW w:w="1701" w:type="dxa"/>
            <w:tcBorders>
              <w:tl2br w:val="nil"/>
              <w:tr2bl w:val="nil"/>
            </w:tcBorders>
            <w:noWrap w:val="0"/>
            <w:vAlign w:val="center"/>
          </w:tcPr>
          <w:p w14:paraId="5B7FC44A">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2000≤Y＜40000</w:t>
            </w:r>
          </w:p>
        </w:tc>
        <w:tc>
          <w:tcPr>
            <w:tcW w:w="1426" w:type="dxa"/>
            <w:tcBorders>
              <w:tl2br w:val="nil"/>
              <w:tr2bl w:val="nil"/>
            </w:tcBorders>
            <w:noWrap w:val="0"/>
            <w:vAlign w:val="center"/>
          </w:tcPr>
          <w:p w14:paraId="6F5DC1B3">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300≤Y＜2000</w:t>
            </w:r>
          </w:p>
        </w:tc>
        <w:tc>
          <w:tcPr>
            <w:tcW w:w="992" w:type="dxa"/>
            <w:tcBorders>
              <w:tl2br w:val="nil"/>
              <w:tr2bl w:val="nil"/>
            </w:tcBorders>
            <w:noWrap w:val="0"/>
            <w:vAlign w:val="center"/>
          </w:tcPr>
          <w:p w14:paraId="0C9B5E03">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Y＜300</w:t>
            </w:r>
          </w:p>
        </w:tc>
      </w:tr>
      <w:tr w14:paraId="1A7AC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exact"/>
          <w:jc w:val="center"/>
        </w:trPr>
        <w:tc>
          <w:tcPr>
            <w:tcW w:w="2114" w:type="dxa"/>
            <w:vMerge w:val="restart"/>
            <w:tcBorders>
              <w:tl2br w:val="nil"/>
              <w:tr2bl w:val="nil"/>
            </w:tcBorders>
            <w:noWrap w:val="0"/>
            <w:vAlign w:val="center"/>
          </w:tcPr>
          <w:p w14:paraId="4B08E9D4">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建筑业</w:t>
            </w:r>
          </w:p>
        </w:tc>
        <w:tc>
          <w:tcPr>
            <w:tcW w:w="1369" w:type="dxa"/>
            <w:tcBorders>
              <w:tl2br w:val="nil"/>
              <w:tr2bl w:val="nil"/>
            </w:tcBorders>
            <w:noWrap w:val="0"/>
            <w:vAlign w:val="center"/>
          </w:tcPr>
          <w:p w14:paraId="3E48618B">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709" w:type="dxa"/>
            <w:tcBorders>
              <w:tl2br w:val="nil"/>
              <w:tr2bl w:val="nil"/>
            </w:tcBorders>
            <w:noWrap w:val="0"/>
            <w:vAlign w:val="center"/>
          </w:tcPr>
          <w:p w14:paraId="4742F037">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25" w:type="dxa"/>
            <w:tcBorders>
              <w:tl2br w:val="nil"/>
              <w:tr2bl w:val="nil"/>
            </w:tcBorders>
            <w:noWrap w:val="0"/>
            <w:vAlign w:val="center"/>
          </w:tcPr>
          <w:p w14:paraId="3DE1EDA5">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Y≥80000</w:t>
            </w:r>
          </w:p>
        </w:tc>
        <w:tc>
          <w:tcPr>
            <w:tcW w:w="1701" w:type="dxa"/>
            <w:tcBorders>
              <w:tl2br w:val="nil"/>
              <w:tr2bl w:val="nil"/>
            </w:tcBorders>
            <w:noWrap w:val="0"/>
            <w:vAlign w:val="center"/>
          </w:tcPr>
          <w:p w14:paraId="3767D93F">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6000≤Y＜80000</w:t>
            </w:r>
          </w:p>
        </w:tc>
        <w:tc>
          <w:tcPr>
            <w:tcW w:w="1426" w:type="dxa"/>
            <w:tcBorders>
              <w:tl2br w:val="nil"/>
              <w:tr2bl w:val="nil"/>
            </w:tcBorders>
            <w:noWrap w:val="0"/>
            <w:vAlign w:val="center"/>
          </w:tcPr>
          <w:p w14:paraId="2AD1D9C0">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300≤Y＜6000</w:t>
            </w:r>
          </w:p>
        </w:tc>
        <w:tc>
          <w:tcPr>
            <w:tcW w:w="992" w:type="dxa"/>
            <w:tcBorders>
              <w:tl2br w:val="nil"/>
              <w:tr2bl w:val="nil"/>
            </w:tcBorders>
            <w:noWrap w:val="0"/>
            <w:vAlign w:val="center"/>
          </w:tcPr>
          <w:p w14:paraId="6DE39C53">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Y＜300</w:t>
            </w:r>
          </w:p>
        </w:tc>
      </w:tr>
      <w:tr w14:paraId="223FA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exact"/>
          <w:jc w:val="center"/>
        </w:trPr>
        <w:tc>
          <w:tcPr>
            <w:tcW w:w="2114" w:type="dxa"/>
            <w:vMerge w:val="continue"/>
            <w:tcBorders>
              <w:tl2br w:val="nil"/>
              <w:tr2bl w:val="nil"/>
            </w:tcBorders>
            <w:noWrap w:val="0"/>
            <w:vAlign w:val="center"/>
          </w:tcPr>
          <w:p w14:paraId="47B62BAF">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p>
        </w:tc>
        <w:tc>
          <w:tcPr>
            <w:tcW w:w="1369" w:type="dxa"/>
            <w:tcBorders>
              <w:tl2br w:val="nil"/>
              <w:tr2bl w:val="nil"/>
            </w:tcBorders>
            <w:noWrap w:val="0"/>
            <w:vAlign w:val="center"/>
          </w:tcPr>
          <w:p w14:paraId="3A33FB14">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资产总额(Z)</w:t>
            </w:r>
          </w:p>
        </w:tc>
        <w:tc>
          <w:tcPr>
            <w:tcW w:w="709" w:type="dxa"/>
            <w:tcBorders>
              <w:tl2br w:val="nil"/>
              <w:tr2bl w:val="nil"/>
            </w:tcBorders>
            <w:noWrap w:val="0"/>
            <w:vAlign w:val="center"/>
          </w:tcPr>
          <w:p w14:paraId="1AB40654">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25" w:type="dxa"/>
            <w:tcBorders>
              <w:tl2br w:val="nil"/>
              <w:tr2bl w:val="nil"/>
            </w:tcBorders>
            <w:noWrap w:val="0"/>
            <w:vAlign w:val="center"/>
          </w:tcPr>
          <w:p w14:paraId="05BEEAD3">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Z≥80000</w:t>
            </w:r>
          </w:p>
        </w:tc>
        <w:tc>
          <w:tcPr>
            <w:tcW w:w="1701" w:type="dxa"/>
            <w:tcBorders>
              <w:tl2br w:val="nil"/>
              <w:tr2bl w:val="nil"/>
            </w:tcBorders>
            <w:noWrap w:val="0"/>
            <w:vAlign w:val="center"/>
          </w:tcPr>
          <w:p w14:paraId="117FF2FD">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5000≤Z＜80000</w:t>
            </w:r>
          </w:p>
        </w:tc>
        <w:tc>
          <w:tcPr>
            <w:tcW w:w="1426" w:type="dxa"/>
            <w:tcBorders>
              <w:tl2br w:val="nil"/>
              <w:tr2bl w:val="nil"/>
            </w:tcBorders>
            <w:noWrap w:val="0"/>
            <w:vAlign w:val="center"/>
          </w:tcPr>
          <w:p w14:paraId="077AC84A">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300≤Z＜5000</w:t>
            </w:r>
          </w:p>
        </w:tc>
        <w:tc>
          <w:tcPr>
            <w:tcW w:w="992" w:type="dxa"/>
            <w:tcBorders>
              <w:tl2br w:val="nil"/>
              <w:tr2bl w:val="nil"/>
            </w:tcBorders>
            <w:noWrap w:val="0"/>
            <w:vAlign w:val="center"/>
          </w:tcPr>
          <w:p w14:paraId="3C0DAA57">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Z＜300</w:t>
            </w:r>
          </w:p>
        </w:tc>
      </w:tr>
      <w:tr w14:paraId="4A174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exact"/>
          <w:jc w:val="center"/>
        </w:trPr>
        <w:tc>
          <w:tcPr>
            <w:tcW w:w="2114" w:type="dxa"/>
            <w:vMerge w:val="restart"/>
            <w:tcBorders>
              <w:tl2br w:val="nil"/>
              <w:tr2bl w:val="nil"/>
            </w:tcBorders>
            <w:noWrap w:val="0"/>
            <w:vAlign w:val="center"/>
          </w:tcPr>
          <w:p w14:paraId="14D8BB8B">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批发业</w:t>
            </w:r>
          </w:p>
        </w:tc>
        <w:tc>
          <w:tcPr>
            <w:tcW w:w="1369" w:type="dxa"/>
            <w:tcBorders>
              <w:tl2br w:val="nil"/>
              <w:tr2bl w:val="nil"/>
            </w:tcBorders>
            <w:noWrap w:val="0"/>
            <w:vAlign w:val="center"/>
          </w:tcPr>
          <w:p w14:paraId="363F00B5">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709" w:type="dxa"/>
            <w:tcBorders>
              <w:tl2br w:val="nil"/>
              <w:tr2bl w:val="nil"/>
            </w:tcBorders>
            <w:noWrap w:val="0"/>
            <w:vAlign w:val="center"/>
          </w:tcPr>
          <w:p w14:paraId="619BA3A4">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25" w:type="dxa"/>
            <w:tcBorders>
              <w:tl2br w:val="nil"/>
              <w:tr2bl w:val="nil"/>
            </w:tcBorders>
            <w:noWrap w:val="0"/>
            <w:vAlign w:val="center"/>
          </w:tcPr>
          <w:p w14:paraId="005A9970">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X≥200</w:t>
            </w:r>
          </w:p>
        </w:tc>
        <w:tc>
          <w:tcPr>
            <w:tcW w:w="1701" w:type="dxa"/>
            <w:tcBorders>
              <w:tl2br w:val="nil"/>
              <w:tr2bl w:val="nil"/>
            </w:tcBorders>
            <w:noWrap w:val="0"/>
            <w:vAlign w:val="center"/>
          </w:tcPr>
          <w:p w14:paraId="60B49480">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20≤X＜200</w:t>
            </w:r>
          </w:p>
        </w:tc>
        <w:tc>
          <w:tcPr>
            <w:tcW w:w="1426" w:type="dxa"/>
            <w:tcBorders>
              <w:tl2br w:val="nil"/>
              <w:tr2bl w:val="nil"/>
            </w:tcBorders>
            <w:noWrap w:val="0"/>
            <w:vAlign w:val="center"/>
          </w:tcPr>
          <w:p w14:paraId="58F4EF53">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5≤X＜20</w:t>
            </w:r>
          </w:p>
        </w:tc>
        <w:tc>
          <w:tcPr>
            <w:tcW w:w="992" w:type="dxa"/>
            <w:tcBorders>
              <w:tl2br w:val="nil"/>
              <w:tr2bl w:val="nil"/>
            </w:tcBorders>
            <w:noWrap w:val="0"/>
            <w:vAlign w:val="center"/>
          </w:tcPr>
          <w:p w14:paraId="67A4ED05">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X＜5</w:t>
            </w:r>
          </w:p>
        </w:tc>
      </w:tr>
      <w:tr w14:paraId="0C36D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exact"/>
          <w:jc w:val="center"/>
        </w:trPr>
        <w:tc>
          <w:tcPr>
            <w:tcW w:w="2114" w:type="dxa"/>
            <w:vMerge w:val="continue"/>
            <w:tcBorders>
              <w:tl2br w:val="nil"/>
              <w:tr2bl w:val="nil"/>
            </w:tcBorders>
            <w:noWrap w:val="0"/>
            <w:vAlign w:val="center"/>
          </w:tcPr>
          <w:p w14:paraId="7A1FEAE2">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p>
        </w:tc>
        <w:tc>
          <w:tcPr>
            <w:tcW w:w="1369" w:type="dxa"/>
            <w:tcBorders>
              <w:tl2br w:val="nil"/>
              <w:tr2bl w:val="nil"/>
            </w:tcBorders>
            <w:noWrap w:val="0"/>
            <w:vAlign w:val="center"/>
          </w:tcPr>
          <w:p w14:paraId="0559976D">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709" w:type="dxa"/>
            <w:tcBorders>
              <w:tl2br w:val="nil"/>
              <w:tr2bl w:val="nil"/>
            </w:tcBorders>
            <w:noWrap w:val="0"/>
            <w:vAlign w:val="center"/>
          </w:tcPr>
          <w:p w14:paraId="60D6AFA3">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25" w:type="dxa"/>
            <w:tcBorders>
              <w:tl2br w:val="nil"/>
              <w:tr2bl w:val="nil"/>
            </w:tcBorders>
            <w:noWrap w:val="0"/>
            <w:vAlign w:val="center"/>
          </w:tcPr>
          <w:p w14:paraId="4940D716">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Y≥40000</w:t>
            </w:r>
          </w:p>
        </w:tc>
        <w:tc>
          <w:tcPr>
            <w:tcW w:w="1701" w:type="dxa"/>
            <w:tcBorders>
              <w:tl2br w:val="nil"/>
              <w:tr2bl w:val="nil"/>
            </w:tcBorders>
            <w:noWrap w:val="0"/>
            <w:vAlign w:val="center"/>
          </w:tcPr>
          <w:p w14:paraId="6EC95F65">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5000≤Y＜40000</w:t>
            </w:r>
          </w:p>
        </w:tc>
        <w:tc>
          <w:tcPr>
            <w:tcW w:w="1426" w:type="dxa"/>
            <w:tcBorders>
              <w:tl2br w:val="nil"/>
              <w:tr2bl w:val="nil"/>
            </w:tcBorders>
            <w:noWrap w:val="0"/>
            <w:vAlign w:val="center"/>
          </w:tcPr>
          <w:p w14:paraId="699F3704">
            <w:pPr>
              <w:keepNext w:val="0"/>
              <w:keepLines w:val="0"/>
              <w:pageBreakBefore w:val="0"/>
              <w:widowControl/>
              <w:kinsoku/>
              <w:wordWrap w:val="0"/>
              <w:overflowPunct/>
              <w:topLinePunct/>
              <w:autoSpaceDE/>
              <w:autoSpaceDN/>
              <w:bidi w:val="0"/>
              <w:adjustRightInd/>
              <w:snapToGrid/>
              <w:spacing w:line="240" w:lineRule="auto"/>
              <w:ind w:left="-2" w:leftChars="-1"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1000≤Y＜5000</w:t>
            </w:r>
          </w:p>
        </w:tc>
        <w:tc>
          <w:tcPr>
            <w:tcW w:w="992" w:type="dxa"/>
            <w:tcBorders>
              <w:tl2br w:val="nil"/>
              <w:tr2bl w:val="nil"/>
            </w:tcBorders>
            <w:noWrap w:val="0"/>
            <w:vAlign w:val="center"/>
          </w:tcPr>
          <w:p w14:paraId="4EA21EC4">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Y＜1000</w:t>
            </w:r>
          </w:p>
        </w:tc>
      </w:tr>
      <w:tr w14:paraId="0E38F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exact"/>
          <w:jc w:val="center"/>
        </w:trPr>
        <w:tc>
          <w:tcPr>
            <w:tcW w:w="2114" w:type="dxa"/>
            <w:vMerge w:val="restart"/>
            <w:tcBorders>
              <w:tl2br w:val="nil"/>
              <w:tr2bl w:val="nil"/>
            </w:tcBorders>
            <w:noWrap w:val="0"/>
            <w:vAlign w:val="center"/>
          </w:tcPr>
          <w:p w14:paraId="1BBE2EDA">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零售业</w:t>
            </w:r>
          </w:p>
        </w:tc>
        <w:tc>
          <w:tcPr>
            <w:tcW w:w="1369" w:type="dxa"/>
            <w:tcBorders>
              <w:tl2br w:val="nil"/>
              <w:tr2bl w:val="nil"/>
            </w:tcBorders>
            <w:noWrap w:val="0"/>
            <w:vAlign w:val="center"/>
          </w:tcPr>
          <w:p w14:paraId="47C436CE">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709" w:type="dxa"/>
            <w:tcBorders>
              <w:tl2br w:val="nil"/>
              <w:tr2bl w:val="nil"/>
            </w:tcBorders>
            <w:noWrap w:val="0"/>
            <w:vAlign w:val="center"/>
          </w:tcPr>
          <w:p w14:paraId="4BD13482">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25" w:type="dxa"/>
            <w:tcBorders>
              <w:tl2br w:val="nil"/>
              <w:tr2bl w:val="nil"/>
            </w:tcBorders>
            <w:noWrap w:val="0"/>
            <w:vAlign w:val="center"/>
          </w:tcPr>
          <w:p w14:paraId="02573F23">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X≥300</w:t>
            </w:r>
          </w:p>
        </w:tc>
        <w:tc>
          <w:tcPr>
            <w:tcW w:w="1701" w:type="dxa"/>
            <w:tcBorders>
              <w:tl2br w:val="nil"/>
              <w:tr2bl w:val="nil"/>
            </w:tcBorders>
            <w:noWrap w:val="0"/>
            <w:vAlign w:val="center"/>
          </w:tcPr>
          <w:p w14:paraId="2C557294">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50≤X＜300</w:t>
            </w:r>
          </w:p>
        </w:tc>
        <w:tc>
          <w:tcPr>
            <w:tcW w:w="1426" w:type="dxa"/>
            <w:tcBorders>
              <w:tl2br w:val="nil"/>
              <w:tr2bl w:val="nil"/>
            </w:tcBorders>
            <w:noWrap w:val="0"/>
            <w:vAlign w:val="center"/>
          </w:tcPr>
          <w:p w14:paraId="6A851E02">
            <w:pPr>
              <w:keepNext w:val="0"/>
              <w:keepLines w:val="0"/>
              <w:pageBreakBefore w:val="0"/>
              <w:widowControl/>
              <w:kinsoku/>
              <w:wordWrap w:val="0"/>
              <w:overflowPunct/>
              <w:topLinePunct/>
              <w:autoSpaceDE/>
              <w:autoSpaceDN/>
              <w:bidi w:val="0"/>
              <w:adjustRightInd/>
              <w:snapToGrid/>
              <w:spacing w:line="240" w:lineRule="auto"/>
              <w:ind w:left="-2" w:leftChars="-1"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10≤X＜50</w:t>
            </w:r>
          </w:p>
        </w:tc>
        <w:tc>
          <w:tcPr>
            <w:tcW w:w="992" w:type="dxa"/>
            <w:tcBorders>
              <w:tl2br w:val="nil"/>
              <w:tr2bl w:val="nil"/>
            </w:tcBorders>
            <w:noWrap w:val="0"/>
            <w:vAlign w:val="center"/>
          </w:tcPr>
          <w:p w14:paraId="367167E5">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w:t>
            </w:r>
          </w:p>
        </w:tc>
      </w:tr>
      <w:tr w14:paraId="009F7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exact"/>
          <w:jc w:val="center"/>
        </w:trPr>
        <w:tc>
          <w:tcPr>
            <w:tcW w:w="2114" w:type="dxa"/>
            <w:vMerge w:val="continue"/>
            <w:tcBorders>
              <w:tl2br w:val="nil"/>
              <w:tr2bl w:val="nil"/>
            </w:tcBorders>
            <w:noWrap w:val="0"/>
            <w:vAlign w:val="center"/>
          </w:tcPr>
          <w:p w14:paraId="4880EFE2">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p>
        </w:tc>
        <w:tc>
          <w:tcPr>
            <w:tcW w:w="1369" w:type="dxa"/>
            <w:tcBorders>
              <w:tl2br w:val="nil"/>
              <w:tr2bl w:val="nil"/>
            </w:tcBorders>
            <w:noWrap w:val="0"/>
            <w:vAlign w:val="center"/>
          </w:tcPr>
          <w:p w14:paraId="5DE9C5A8">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709" w:type="dxa"/>
            <w:tcBorders>
              <w:tl2br w:val="nil"/>
              <w:tr2bl w:val="nil"/>
            </w:tcBorders>
            <w:noWrap w:val="0"/>
            <w:vAlign w:val="center"/>
          </w:tcPr>
          <w:p w14:paraId="3D874A7E">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25" w:type="dxa"/>
            <w:tcBorders>
              <w:tl2br w:val="nil"/>
              <w:tr2bl w:val="nil"/>
            </w:tcBorders>
            <w:noWrap w:val="0"/>
            <w:vAlign w:val="center"/>
          </w:tcPr>
          <w:p w14:paraId="5EB3FDF1">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Y≥20000</w:t>
            </w:r>
          </w:p>
        </w:tc>
        <w:tc>
          <w:tcPr>
            <w:tcW w:w="1701" w:type="dxa"/>
            <w:tcBorders>
              <w:tl2br w:val="nil"/>
              <w:tr2bl w:val="nil"/>
            </w:tcBorders>
            <w:noWrap w:val="0"/>
            <w:vAlign w:val="center"/>
          </w:tcPr>
          <w:p w14:paraId="22EE5E8A">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500≤Y＜20000</w:t>
            </w:r>
          </w:p>
        </w:tc>
        <w:tc>
          <w:tcPr>
            <w:tcW w:w="1426" w:type="dxa"/>
            <w:tcBorders>
              <w:tl2br w:val="nil"/>
              <w:tr2bl w:val="nil"/>
            </w:tcBorders>
            <w:noWrap w:val="0"/>
            <w:vAlign w:val="center"/>
          </w:tcPr>
          <w:p w14:paraId="1F51614D">
            <w:pPr>
              <w:keepNext w:val="0"/>
              <w:keepLines w:val="0"/>
              <w:pageBreakBefore w:val="0"/>
              <w:widowControl/>
              <w:kinsoku/>
              <w:wordWrap w:val="0"/>
              <w:overflowPunct/>
              <w:topLinePunct/>
              <w:autoSpaceDE/>
              <w:autoSpaceDN/>
              <w:bidi w:val="0"/>
              <w:adjustRightInd/>
              <w:snapToGrid/>
              <w:spacing w:line="240" w:lineRule="auto"/>
              <w:ind w:left="-2" w:leftChars="-1"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100≤Y＜500</w:t>
            </w:r>
          </w:p>
        </w:tc>
        <w:tc>
          <w:tcPr>
            <w:tcW w:w="992" w:type="dxa"/>
            <w:tcBorders>
              <w:tl2br w:val="nil"/>
              <w:tr2bl w:val="nil"/>
            </w:tcBorders>
            <w:noWrap w:val="0"/>
            <w:vAlign w:val="center"/>
          </w:tcPr>
          <w:p w14:paraId="6854B73A">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w:t>
            </w:r>
          </w:p>
        </w:tc>
      </w:tr>
      <w:tr w14:paraId="58413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exact"/>
          <w:jc w:val="center"/>
        </w:trPr>
        <w:tc>
          <w:tcPr>
            <w:tcW w:w="2114" w:type="dxa"/>
            <w:vMerge w:val="restart"/>
            <w:tcBorders>
              <w:tl2br w:val="nil"/>
              <w:tr2bl w:val="nil"/>
            </w:tcBorders>
            <w:noWrap w:val="0"/>
            <w:vAlign w:val="center"/>
          </w:tcPr>
          <w:p w14:paraId="2C10E8BB">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交通运输业 *</w:t>
            </w:r>
          </w:p>
        </w:tc>
        <w:tc>
          <w:tcPr>
            <w:tcW w:w="1369" w:type="dxa"/>
            <w:tcBorders>
              <w:tl2br w:val="nil"/>
              <w:tr2bl w:val="nil"/>
            </w:tcBorders>
            <w:noWrap w:val="0"/>
            <w:vAlign w:val="center"/>
          </w:tcPr>
          <w:p w14:paraId="0710E669">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709" w:type="dxa"/>
            <w:tcBorders>
              <w:tl2br w:val="nil"/>
              <w:tr2bl w:val="nil"/>
            </w:tcBorders>
            <w:noWrap w:val="0"/>
            <w:vAlign w:val="center"/>
          </w:tcPr>
          <w:p w14:paraId="03F95364">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25" w:type="dxa"/>
            <w:tcBorders>
              <w:tl2br w:val="nil"/>
              <w:tr2bl w:val="nil"/>
            </w:tcBorders>
            <w:noWrap w:val="0"/>
            <w:vAlign w:val="center"/>
          </w:tcPr>
          <w:p w14:paraId="175E8459">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X≥1000</w:t>
            </w:r>
          </w:p>
        </w:tc>
        <w:tc>
          <w:tcPr>
            <w:tcW w:w="1701" w:type="dxa"/>
            <w:tcBorders>
              <w:tl2br w:val="nil"/>
              <w:tr2bl w:val="nil"/>
            </w:tcBorders>
            <w:noWrap w:val="0"/>
            <w:vAlign w:val="center"/>
          </w:tcPr>
          <w:p w14:paraId="4C139A22">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300≤X＜1000</w:t>
            </w:r>
          </w:p>
        </w:tc>
        <w:tc>
          <w:tcPr>
            <w:tcW w:w="1426" w:type="dxa"/>
            <w:tcBorders>
              <w:tl2br w:val="nil"/>
              <w:tr2bl w:val="nil"/>
            </w:tcBorders>
            <w:noWrap w:val="0"/>
            <w:vAlign w:val="center"/>
          </w:tcPr>
          <w:p w14:paraId="21F999BB">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20≤X＜300</w:t>
            </w:r>
          </w:p>
        </w:tc>
        <w:tc>
          <w:tcPr>
            <w:tcW w:w="992" w:type="dxa"/>
            <w:tcBorders>
              <w:tl2br w:val="nil"/>
              <w:tr2bl w:val="nil"/>
            </w:tcBorders>
            <w:noWrap w:val="0"/>
            <w:vAlign w:val="center"/>
          </w:tcPr>
          <w:p w14:paraId="2B188FFE">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X＜20</w:t>
            </w:r>
          </w:p>
        </w:tc>
      </w:tr>
      <w:tr w14:paraId="2751A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exact"/>
          <w:jc w:val="center"/>
        </w:trPr>
        <w:tc>
          <w:tcPr>
            <w:tcW w:w="2114" w:type="dxa"/>
            <w:vMerge w:val="continue"/>
            <w:tcBorders>
              <w:tl2br w:val="nil"/>
              <w:tr2bl w:val="nil"/>
            </w:tcBorders>
            <w:noWrap w:val="0"/>
            <w:vAlign w:val="center"/>
          </w:tcPr>
          <w:p w14:paraId="4924B995">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p>
        </w:tc>
        <w:tc>
          <w:tcPr>
            <w:tcW w:w="1369" w:type="dxa"/>
            <w:tcBorders>
              <w:tl2br w:val="nil"/>
              <w:tr2bl w:val="nil"/>
            </w:tcBorders>
            <w:noWrap w:val="0"/>
            <w:vAlign w:val="center"/>
          </w:tcPr>
          <w:p w14:paraId="7BB6E543">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709" w:type="dxa"/>
            <w:tcBorders>
              <w:tl2br w:val="nil"/>
              <w:tr2bl w:val="nil"/>
            </w:tcBorders>
            <w:noWrap w:val="0"/>
            <w:vAlign w:val="center"/>
          </w:tcPr>
          <w:p w14:paraId="4869E3FD">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25" w:type="dxa"/>
            <w:tcBorders>
              <w:tl2br w:val="nil"/>
              <w:tr2bl w:val="nil"/>
            </w:tcBorders>
            <w:noWrap w:val="0"/>
            <w:vAlign w:val="center"/>
          </w:tcPr>
          <w:p w14:paraId="0E21C6D7">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Y≥30000</w:t>
            </w:r>
          </w:p>
        </w:tc>
        <w:tc>
          <w:tcPr>
            <w:tcW w:w="1701" w:type="dxa"/>
            <w:tcBorders>
              <w:tl2br w:val="nil"/>
              <w:tr2bl w:val="nil"/>
            </w:tcBorders>
            <w:noWrap w:val="0"/>
            <w:vAlign w:val="center"/>
          </w:tcPr>
          <w:p w14:paraId="553CA834">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3000≤Y＜30000</w:t>
            </w:r>
          </w:p>
        </w:tc>
        <w:tc>
          <w:tcPr>
            <w:tcW w:w="1426" w:type="dxa"/>
            <w:tcBorders>
              <w:tl2br w:val="nil"/>
              <w:tr2bl w:val="nil"/>
            </w:tcBorders>
            <w:noWrap w:val="0"/>
            <w:vAlign w:val="center"/>
          </w:tcPr>
          <w:p w14:paraId="44E99E0C">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200≤Y＜3000</w:t>
            </w:r>
          </w:p>
        </w:tc>
        <w:tc>
          <w:tcPr>
            <w:tcW w:w="992" w:type="dxa"/>
            <w:tcBorders>
              <w:tl2br w:val="nil"/>
              <w:tr2bl w:val="nil"/>
            </w:tcBorders>
            <w:noWrap w:val="0"/>
            <w:vAlign w:val="center"/>
          </w:tcPr>
          <w:p w14:paraId="6A127523">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Y＜200</w:t>
            </w:r>
          </w:p>
        </w:tc>
      </w:tr>
      <w:tr w14:paraId="739B9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exact"/>
          <w:jc w:val="center"/>
        </w:trPr>
        <w:tc>
          <w:tcPr>
            <w:tcW w:w="2114" w:type="dxa"/>
            <w:vMerge w:val="restart"/>
            <w:tcBorders>
              <w:tl2br w:val="nil"/>
              <w:tr2bl w:val="nil"/>
            </w:tcBorders>
            <w:noWrap w:val="0"/>
            <w:vAlign w:val="center"/>
          </w:tcPr>
          <w:p w14:paraId="5AAFC53D">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仓储业*</w:t>
            </w:r>
          </w:p>
        </w:tc>
        <w:tc>
          <w:tcPr>
            <w:tcW w:w="1369" w:type="dxa"/>
            <w:tcBorders>
              <w:tl2br w:val="nil"/>
              <w:tr2bl w:val="nil"/>
            </w:tcBorders>
            <w:noWrap w:val="0"/>
            <w:vAlign w:val="center"/>
          </w:tcPr>
          <w:p w14:paraId="001EEBF5">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709" w:type="dxa"/>
            <w:tcBorders>
              <w:tl2br w:val="nil"/>
              <w:tr2bl w:val="nil"/>
            </w:tcBorders>
            <w:noWrap w:val="0"/>
            <w:vAlign w:val="center"/>
          </w:tcPr>
          <w:p w14:paraId="3349E4C7">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25" w:type="dxa"/>
            <w:tcBorders>
              <w:tl2br w:val="nil"/>
              <w:tr2bl w:val="nil"/>
            </w:tcBorders>
            <w:noWrap w:val="0"/>
            <w:vAlign w:val="center"/>
          </w:tcPr>
          <w:p w14:paraId="76C595C3">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X≥200</w:t>
            </w:r>
          </w:p>
        </w:tc>
        <w:tc>
          <w:tcPr>
            <w:tcW w:w="1701" w:type="dxa"/>
            <w:tcBorders>
              <w:tl2br w:val="nil"/>
              <w:tr2bl w:val="nil"/>
            </w:tcBorders>
            <w:noWrap w:val="0"/>
            <w:vAlign w:val="center"/>
          </w:tcPr>
          <w:p w14:paraId="64DC1D5F">
            <w:pPr>
              <w:keepNext w:val="0"/>
              <w:keepLines w:val="0"/>
              <w:pageBreakBefore w:val="0"/>
              <w:widowControl/>
              <w:kinsoku/>
              <w:wordWrap w:val="0"/>
              <w:overflowPunct/>
              <w:topLinePunct/>
              <w:autoSpaceDE/>
              <w:autoSpaceDN/>
              <w:bidi w:val="0"/>
              <w:adjustRightInd/>
              <w:snapToGrid/>
              <w:spacing w:line="240" w:lineRule="auto"/>
              <w:ind w:left="-107" w:leftChars="-51"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100≤X＜200</w:t>
            </w:r>
          </w:p>
        </w:tc>
        <w:tc>
          <w:tcPr>
            <w:tcW w:w="1426" w:type="dxa"/>
            <w:tcBorders>
              <w:tl2br w:val="nil"/>
              <w:tr2bl w:val="nil"/>
            </w:tcBorders>
            <w:noWrap w:val="0"/>
            <w:vAlign w:val="center"/>
          </w:tcPr>
          <w:p w14:paraId="793D9D36">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20≤X＜100</w:t>
            </w:r>
          </w:p>
        </w:tc>
        <w:tc>
          <w:tcPr>
            <w:tcW w:w="992" w:type="dxa"/>
            <w:tcBorders>
              <w:tl2br w:val="nil"/>
              <w:tr2bl w:val="nil"/>
            </w:tcBorders>
            <w:noWrap w:val="0"/>
            <w:vAlign w:val="center"/>
          </w:tcPr>
          <w:p w14:paraId="261F144C">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X＜20</w:t>
            </w:r>
          </w:p>
        </w:tc>
      </w:tr>
      <w:tr w14:paraId="4766C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exact"/>
          <w:jc w:val="center"/>
        </w:trPr>
        <w:tc>
          <w:tcPr>
            <w:tcW w:w="2114" w:type="dxa"/>
            <w:vMerge w:val="continue"/>
            <w:tcBorders>
              <w:tl2br w:val="nil"/>
              <w:tr2bl w:val="nil"/>
            </w:tcBorders>
            <w:noWrap w:val="0"/>
            <w:vAlign w:val="center"/>
          </w:tcPr>
          <w:p w14:paraId="3EB0D94B">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p>
        </w:tc>
        <w:tc>
          <w:tcPr>
            <w:tcW w:w="1369" w:type="dxa"/>
            <w:tcBorders>
              <w:tl2br w:val="nil"/>
              <w:tr2bl w:val="nil"/>
            </w:tcBorders>
            <w:noWrap w:val="0"/>
            <w:vAlign w:val="center"/>
          </w:tcPr>
          <w:p w14:paraId="2568CC8C">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709" w:type="dxa"/>
            <w:tcBorders>
              <w:tl2br w:val="nil"/>
              <w:tr2bl w:val="nil"/>
            </w:tcBorders>
            <w:noWrap w:val="0"/>
            <w:vAlign w:val="center"/>
          </w:tcPr>
          <w:p w14:paraId="41762212">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25" w:type="dxa"/>
            <w:tcBorders>
              <w:tl2br w:val="nil"/>
              <w:tr2bl w:val="nil"/>
            </w:tcBorders>
            <w:noWrap w:val="0"/>
            <w:vAlign w:val="center"/>
          </w:tcPr>
          <w:p w14:paraId="42568717">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Y≥30000</w:t>
            </w:r>
          </w:p>
        </w:tc>
        <w:tc>
          <w:tcPr>
            <w:tcW w:w="1701" w:type="dxa"/>
            <w:tcBorders>
              <w:tl2br w:val="nil"/>
              <w:tr2bl w:val="nil"/>
            </w:tcBorders>
            <w:noWrap w:val="0"/>
            <w:vAlign w:val="center"/>
          </w:tcPr>
          <w:p w14:paraId="553796DD">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1000≤Y＜30000</w:t>
            </w:r>
          </w:p>
        </w:tc>
        <w:tc>
          <w:tcPr>
            <w:tcW w:w="1426" w:type="dxa"/>
            <w:tcBorders>
              <w:tl2br w:val="nil"/>
              <w:tr2bl w:val="nil"/>
            </w:tcBorders>
            <w:noWrap w:val="0"/>
            <w:vAlign w:val="center"/>
          </w:tcPr>
          <w:p w14:paraId="034F83EC">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100≤Y＜1000</w:t>
            </w:r>
          </w:p>
        </w:tc>
        <w:tc>
          <w:tcPr>
            <w:tcW w:w="992" w:type="dxa"/>
            <w:tcBorders>
              <w:tl2br w:val="nil"/>
              <w:tr2bl w:val="nil"/>
            </w:tcBorders>
            <w:noWrap w:val="0"/>
            <w:vAlign w:val="center"/>
          </w:tcPr>
          <w:p w14:paraId="131233B2">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w:t>
            </w:r>
          </w:p>
        </w:tc>
      </w:tr>
      <w:tr w14:paraId="75761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exact"/>
          <w:jc w:val="center"/>
        </w:trPr>
        <w:tc>
          <w:tcPr>
            <w:tcW w:w="2114" w:type="dxa"/>
            <w:vMerge w:val="restart"/>
            <w:tcBorders>
              <w:tl2br w:val="nil"/>
              <w:tr2bl w:val="nil"/>
            </w:tcBorders>
            <w:noWrap w:val="0"/>
            <w:vAlign w:val="center"/>
          </w:tcPr>
          <w:p w14:paraId="0294DAB8">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邮政业</w:t>
            </w:r>
          </w:p>
        </w:tc>
        <w:tc>
          <w:tcPr>
            <w:tcW w:w="1369" w:type="dxa"/>
            <w:tcBorders>
              <w:tl2br w:val="nil"/>
              <w:tr2bl w:val="nil"/>
            </w:tcBorders>
            <w:noWrap w:val="0"/>
            <w:vAlign w:val="center"/>
          </w:tcPr>
          <w:p w14:paraId="1819A02C">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709" w:type="dxa"/>
            <w:tcBorders>
              <w:tl2br w:val="nil"/>
              <w:tr2bl w:val="nil"/>
            </w:tcBorders>
            <w:noWrap w:val="0"/>
            <w:vAlign w:val="center"/>
          </w:tcPr>
          <w:p w14:paraId="55C0A17E">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25" w:type="dxa"/>
            <w:tcBorders>
              <w:tl2br w:val="nil"/>
              <w:tr2bl w:val="nil"/>
            </w:tcBorders>
            <w:noWrap w:val="0"/>
            <w:vAlign w:val="center"/>
          </w:tcPr>
          <w:p w14:paraId="2FA84ECB">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X≥1000</w:t>
            </w:r>
          </w:p>
        </w:tc>
        <w:tc>
          <w:tcPr>
            <w:tcW w:w="1701" w:type="dxa"/>
            <w:tcBorders>
              <w:tl2br w:val="nil"/>
              <w:tr2bl w:val="nil"/>
            </w:tcBorders>
            <w:noWrap w:val="0"/>
            <w:vAlign w:val="center"/>
          </w:tcPr>
          <w:p w14:paraId="609937AD">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300≤X＜1000</w:t>
            </w:r>
          </w:p>
        </w:tc>
        <w:tc>
          <w:tcPr>
            <w:tcW w:w="1426" w:type="dxa"/>
            <w:tcBorders>
              <w:tl2br w:val="nil"/>
              <w:tr2bl w:val="nil"/>
            </w:tcBorders>
            <w:noWrap w:val="0"/>
            <w:vAlign w:val="center"/>
          </w:tcPr>
          <w:p w14:paraId="6A7BCEE1">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20≤X＜300</w:t>
            </w:r>
          </w:p>
        </w:tc>
        <w:tc>
          <w:tcPr>
            <w:tcW w:w="992" w:type="dxa"/>
            <w:tcBorders>
              <w:tl2br w:val="nil"/>
              <w:tr2bl w:val="nil"/>
            </w:tcBorders>
            <w:noWrap w:val="0"/>
            <w:vAlign w:val="center"/>
          </w:tcPr>
          <w:p w14:paraId="1EEA331D">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X＜20</w:t>
            </w:r>
          </w:p>
        </w:tc>
      </w:tr>
      <w:tr w14:paraId="66A52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exact"/>
          <w:jc w:val="center"/>
        </w:trPr>
        <w:tc>
          <w:tcPr>
            <w:tcW w:w="2114" w:type="dxa"/>
            <w:vMerge w:val="continue"/>
            <w:tcBorders>
              <w:tl2br w:val="nil"/>
              <w:tr2bl w:val="nil"/>
            </w:tcBorders>
            <w:noWrap w:val="0"/>
            <w:vAlign w:val="center"/>
          </w:tcPr>
          <w:p w14:paraId="7F34ABB8">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p>
        </w:tc>
        <w:tc>
          <w:tcPr>
            <w:tcW w:w="1369" w:type="dxa"/>
            <w:tcBorders>
              <w:tl2br w:val="nil"/>
              <w:tr2bl w:val="nil"/>
            </w:tcBorders>
            <w:noWrap w:val="0"/>
            <w:vAlign w:val="center"/>
          </w:tcPr>
          <w:p w14:paraId="4BAC3DE6">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709" w:type="dxa"/>
            <w:tcBorders>
              <w:tl2br w:val="nil"/>
              <w:tr2bl w:val="nil"/>
            </w:tcBorders>
            <w:noWrap w:val="0"/>
            <w:vAlign w:val="center"/>
          </w:tcPr>
          <w:p w14:paraId="7F147D5C">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25" w:type="dxa"/>
            <w:tcBorders>
              <w:tl2br w:val="nil"/>
              <w:tr2bl w:val="nil"/>
            </w:tcBorders>
            <w:noWrap w:val="0"/>
            <w:vAlign w:val="center"/>
          </w:tcPr>
          <w:p w14:paraId="32CD7DEA">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Y≥30000</w:t>
            </w:r>
          </w:p>
        </w:tc>
        <w:tc>
          <w:tcPr>
            <w:tcW w:w="1701" w:type="dxa"/>
            <w:tcBorders>
              <w:tl2br w:val="nil"/>
              <w:tr2bl w:val="nil"/>
            </w:tcBorders>
            <w:noWrap w:val="0"/>
            <w:vAlign w:val="center"/>
          </w:tcPr>
          <w:p w14:paraId="01E67D62">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2000≤Y＜30000</w:t>
            </w:r>
          </w:p>
        </w:tc>
        <w:tc>
          <w:tcPr>
            <w:tcW w:w="1426" w:type="dxa"/>
            <w:tcBorders>
              <w:tl2br w:val="nil"/>
              <w:tr2bl w:val="nil"/>
            </w:tcBorders>
            <w:noWrap w:val="0"/>
            <w:vAlign w:val="center"/>
          </w:tcPr>
          <w:p w14:paraId="17912ECE">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100≤Y＜2000</w:t>
            </w:r>
          </w:p>
        </w:tc>
        <w:tc>
          <w:tcPr>
            <w:tcW w:w="992" w:type="dxa"/>
            <w:tcBorders>
              <w:tl2br w:val="nil"/>
              <w:tr2bl w:val="nil"/>
            </w:tcBorders>
            <w:noWrap w:val="0"/>
            <w:vAlign w:val="center"/>
          </w:tcPr>
          <w:p w14:paraId="2B2FCFC3">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w:t>
            </w:r>
          </w:p>
        </w:tc>
      </w:tr>
      <w:tr w14:paraId="775A1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exact"/>
          <w:jc w:val="center"/>
        </w:trPr>
        <w:tc>
          <w:tcPr>
            <w:tcW w:w="2114" w:type="dxa"/>
            <w:vMerge w:val="restart"/>
            <w:tcBorders>
              <w:tl2br w:val="nil"/>
              <w:tr2bl w:val="nil"/>
            </w:tcBorders>
            <w:noWrap w:val="0"/>
            <w:vAlign w:val="center"/>
          </w:tcPr>
          <w:p w14:paraId="6308C791">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住宿业</w:t>
            </w:r>
          </w:p>
        </w:tc>
        <w:tc>
          <w:tcPr>
            <w:tcW w:w="1369" w:type="dxa"/>
            <w:tcBorders>
              <w:tl2br w:val="nil"/>
              <w:tr2bl w:val="nil"/>
            </w:tcBorders>
            <w:noWrap w:val="0"/>
            <w:vAlign w:val="center"/>
          </w:tcPr>
          <w:p w14:paraId="13AAAB8C">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709" w:type="dxa"/>
            <w:tcBorders>
              <w:tl2br w:val="nil"/>
              <w:tr2bl w:val="nil"/>
            </w:tcBorders>
            <w:noWrap w:val="0"/>
            <w:vAlign w:val="center"/>
          </w:tcPr>
          <w:p w14:paraId="5DBCBB0B">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25" w:type="dxa"/>
            <w:tcBorders>
              <w:tl2br w:val="nil"/>
              <w:tr2bl w:val="nil"/>
            </w:tcBorders>
            <w:noWrap w:val="0"/>
            <w:vAlign w:val="center"/>
          </w:tcPr>
          <w:p w14:paraId="4A7E8694">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X≥300</w:t>
            </w:r>
          </w:p>
        </w:tc>
        <w:tc>
          <w:tcPr>
            <w:tcW w:w="1701" w:type="dxa"/>
            <w:tcBorders>
              <w:tl2br w:val="nil"/>
              <w:tr2bl w:val="nil"/>
            </w:tcBorders>
            <w:noWrap w:val="0"/>
            <w:vAlign w:val="center"/>
          </w:tcPr>
          <w:p w14:paraId="6727828A">
            <w:pPr>
              <w:keepNext w:val="0"/>
              <w:keepLines w:val="0"/>
              <w:pageBreakBefore w:val="0"/>
              <w:widowControl/>
              <w:kinsoku/>
              <w:wordWrap w:val="0"/>
              <w:overflowPunct/>
              <w:topLinePunct/>
              <w:autoSpaceDE/>
              <w:autoSpaceDN/>
              <w:bidi w:val="0"/>
              <w:adjustRightInd/>
              <w:snapToGrid/>
              <w:spacing w:line="240" w:lineRule="auto"/>
              <w:ind w:left="-107" w:leftChars="-51"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100≤X＜300</w:t>
            </w:r>
          </w:p>
        </w:tc>
        <w:tc>
          <w:tcPr>
            <w:tcW w:w="1426" w:type="dxa"/>
            <w:tcBorders>
              <w:tl2br w:val="nil"/>
              <w:tr2bl w:val="nil"/>
            </w:tcBorders>
            <w:noWrap w:val="0"/>
            <w:vAlign w:val="center"/>
          </w:tcPr>
          <w:p w14:paraId="08A66F2E">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10≤X＜100</w:t>
            </w:r>
          </w:p>
        </w:tc>
        <w:tc>
          <w:tcPr>
            <w:tcW w:w="992" w:type="dxa"/>
            <w:tcBorders>
              <w:tl2br w:val="nil"/>
              <w:tr2bl w:val="nil"/>
            </w:tcBorders>
            <w:noWrap w:val="0"/>
            <w:vAlign w:val="center"/>
          </w:tcPr>
          <w:p w14:paraId="77B12E5E">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w:t>
            </w:r>
          </w:p>
        </w:tc>
      </w:tr>
      <w:tr w14:paraId="4E67F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exact"/>
          <w:jc w:val="center"/>
        </w:trPr>
        <w:tc>
          <w:tcPr>
            <w:tcW w:w="2114" w:type="dxa"/>
            <w:vMerge w:val="continue"/>
            <w:tcBorders>
              <w:tl2br w:val="nil"/>
              <w:tr2bl w:val="nil"/>
            </w:tcBorders>
            <w:noWrap w:val="0"/>
            <w:vAlign w:val="center"/>
          </w:tcPr>
          <w:p w14:paraId="0C89F7F4">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p>
        </w:tc>
        <w:tc>
          <w:tcPr>
            <w:tcW w:w="1369" w:type="dxa"/>
            <w:tcBorders>
              <w:tl2br w:val="nil"/>
              <w:tr2bl w:val="nil"/>
            </w:tcBorders>
            <w:noWrap w:val="0"/>
            <w:vAlign w:val="center"/>
          </w:tcPr>
          <w:p w14:paraId="5B2B9BA6">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709" w:type="dxa"/>
            <w:tcBorders>
              <w:tl2br w:val="nil"/>
              <w:tr2bl w:val="nil"/>
            </w:tcBorders>
            <w:noWrap w:val="0"/>
            <w:vAlign w:val="center"/>
          </w:tcPr>
          <w:p w14:paraId="120EAB89">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25" w:type="dxa"/>
            <w:tcBorders>
              <w:tl2br w:val="nil"/>
              <w:tr2bl w:val="nil"/>
            </w:tcBorders>
            <w:noWrap w:val="0"/>
            <w:vAlign w:val="center"/>
          </w:tcPr>
          <w:p w14:paraId="4BC312D3">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Y≥10000</w:t>
            </w:r>
          </w:p>
        </w:tc>
        <w:tc>
          <w:tcPr>
            <w:tcW w:w="1701" w:type="dxa"/>
            <w:tcBorders>
              <w:tl2br w:val="nil"/>
              <w:tr2bl w:val="nil"/>
            </w:tcBorders>
            <w:noWrap w:val="0"/>
            <w:vAlign w:val="center"/>
          </w:tcPr>
          <w:p w14:paraId="1AC179F8">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2000≤Y＜10000</w:t>
            </w:r>
          </w:p>
        </w:tc>
        <w:tc>
          <w:tcPr>
            <w:tcW w:w="1426" w:type="dxa"/>
            <w:tcBorders>
              <w:tl2br w:val="nil"/>
              <w:tr2bl w:val="nil"/>
            </w:tcBorders>
            <w:noWrap w:val="0"/>
            <w:vAlign w:val="center"/>
          </w:tcPr>
          <w:p w14:paraId="45FB2A54">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100≤Y＜2000</w:t>
            </w:r>
          </w:p>
        </w:tc>
        <w:tc>
          <w:tcPr>
            <w:tcW w:w="992" w:type="dxa"/>
            <w:tcBorders>
              <w:tl2br w:val="nil"/>
              <w:tr2bl w:val="nil"/>
            </w:tcBorders>
            <w:noWrap w:val="0"/>
            <w:vAlign w:val="center"/>
          </w:tcPr>
          <w:p w14:paraId="457F4322">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w:t>
            </w:r>
          </w:p>
        </w:tc>
      </w:tr>
      <w:tr w14:paraId="6C211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exact"/>
          <w:jc w:val="center"/>
        </w:trPr>
        <w:tc>
          <w:tcPr>
            <w:tcW w:w="2114" w:type="dxa"/>
            <w:vMerge w:val="restart"/>
            <w:tcBorders>
              <w:tl2br w:val="nil"/>
              <w:tr2bl w:val="nil"/>
            </w:tcBorders>
            <w:noWrap w:val="0"/>
            <w:vAlign w:val="center"/>
          </w:tcPr>
          <w:p w14:paraId="0E5C18D7">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餐饮业</w:t>
            </w:r>
          </w:p>
        </w:tc>
        <w:tc>
          <w:tcPr>
            <w:tcW w:w="1369" w:type="dxa"/>
            <w:tcBorders>
              <w:tl2br w:val="nil"/>
              <w:tr2bl w:val="nil"/>
            </w:tcBorders>
            <w:noWrap w:val="0"/>
            <w:vAlign w:val="center"/>
          </w:tcPr>
          <w:p w14:paraId="3B6C50D0">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709" w:type="dxa"/>
            <w:tcBorders>
              <w:tl2br w:val="nil"/>
              <w:tr2bl w:val="nil"/>
            </w:tcBorders>
            <w:noWrap w:val="0"/>
            <w:vAlign w:val="center"/>
          </w:tcPr>
          <w:p w14:paraId="333D77CD">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25" w:type="dxa"/>
            <w:tcBorders>
              <w:tl2br w:val="nil"/>
              <w:tr2bl w:val="nil"/>
            </w:tcBorders>
            <w:noWrap w:val="0"/>
            <w:vAlign w:val="center"/>
          </w:tcPr>
          <w:p w14:paraId="0A84ADDE">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X≥300</w:t>
            </w:r>
          </w:p>
        </w:tc>
        <w:tc>
          <w:tcPr>
            <w:tcW w:w="1701" w:type="dxa"/>
            <w:tcBorders>
              <w:tl2br w:val="nil"/>
              <w:tr2bl w:val="nil"/>
            </w:tcBorders>
            <w:noWrap w:val="0"/>
            <w:vAlign w:val="center"/>
          </w:tcPr>
          <w:p w14:paraId="01C8E96B">
            <w:pPr>
              <w:keepNext w:val="0"/>
              <w:keepLines w:val="0"/>
              <w:pageBreakBefore w:val="0"/>
              <w:widowControl/>
              <w:kinsoku/>
              <w:wordWrap w:val="0"/>
              <w:overflowPunct/>
              <w:topLinePunct/>
              <w:autoSpaceDE/>
              <w:autoSpaceDN/>
              <w:bidi w:val="0"/>
              <w:adjustRightInd/>
              <w:snapToGrid/>
              <w:spacing w:line="240" w:lineRule="auto"/>
              <w:ind w:left="-107" w:leftChars="-51"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100≤X＜300</w:t>
            </w:r>
          </w:p>
        </w:tc>
        <w:tc>
          <w:tcPr>
            <w:tcW w:w="1426" w:type="dxa"/>
            <w:tcBorders>
              <w:tl2br w:val="nil"/>
              <w:tr2bl w:val="nil"/>
            </w:tcBorders>
            <w:noWrap w:val="0"/>
            <w:vAlign w:val="center"/>
          </w:tcPr>
          <w:p w14:paraId="07B4AAF3">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10≤X＜100</w:t>
            </w:r>
          </w:p>
        </w:tc>
        <w:tc>
          <w:tcPr>
            <w:tcW w:w="992" w:type="dxa"/>
            <w:tcBorders>
              <w:tl2br w:val="nil"/>
              <w:tr2bl w:val="nil"/>
            </w:tcBorders>
            <w:noWrap w:val="0"/>
            <w:vAlign w:val="center"/>
          </w:tcPr>
          <w:p w14:paraId="667C26BA">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w:t>
            </w:r>
          </w:p>
        </w:tc>
      </w:tr>
      <w:tr w14:paraId="0A2C3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exact"/>
          <w:jc w:val="center"/>
        </w:trPr>
        <w:tc>
          <w:tcPr>
            <w:tcW w:w="2114" w:type="dxa"/>
            <w:vMerge w:val="continue"/>
            <w:tcBorders>
              <w:tl2br w:val="nil"/>
              <w:tr2bl w:val="nil"/>
            </w:tcBorders>
            <w:noWrap w:val="0"/>
            <w:vAlign w:val="center"/>
          </w:tcPr>
          <w:p w14:paraId="15794758">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p>
        </w:tc>
        <w:tc>
          <w:tcPr>
            <w:tcW w:w="1369" w:type="dxa"/>
            <w:tcBorders>
              <w:tl2br w:val="nil"/>
              <w:tr2bl w:val="nil"/>
            </w:tcBorders>
            <w:noWrap w:val="0"/>
            <w:vAlign w:val="center"/>
          </w:tcPr>
          <w:p w14:paraId="49F01D81">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709" w:type="dxa"/>
            <w:tcBorders>
              <w:tl2br w:val="nil"/>
              <w:tr2bl w:val="nil"/>
            </w:tcBorders>
            <w:noWrap w:val="0"/>
            <w:vAlign w:val="center"/>
          </w:tcPr>
          <w:p w14:paraId="16867DE9">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25" w:type="dxa"/>
            <w:tcBorders>
              <w:tl2br w:val="nil"/>
              <w:tr2bl w:val="nil"/>
            </w:tcBorders>
            <w:noWrap w:val="0"/>
            <w:vAlign w:val="center"/>
          </w:tcPr>
          <w:p w14:paraId="5CE8338F">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Y≥10000</w:t>
            </w:r>
          </w:p>
        </w:tc>
        <w:tc>
          <w:tcPr>
            <w:tcW w:w="1701" w:type="dxa"/>
            <w:tcBorders>
              <w:tl2br w:val="nil"/>
              <w:tr2bl w:val="nil"/>
            </w:tcBorders>
            <w:noWrap w:val="0"/>
            <w:vAlign w:val="center"/>
          </w:tcPr>
          <w:p w14:paraId="187122D0">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2000≤Y＜10000</w:t>
            </w:r>
          </w:p>
        </w:tc>
        <w:tc>
          <w:tcPr>
            <w:tcW w:w="1426" w:type="dxa"/>
            <w:tcBorders>
              <w:tl2br w:val="nil"/>
              <w:tr2bl w:val="nil"/>
            </w:tcBorders>
            <w:noWrap w:val="0"/>
            <w:vAlign w:val="center"/>
          </w:tcPr>
          <w:p w14:paraId="62ED9C5D">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100≤Y＜2000</w:t>
            </w:r>
          </w:p>
        </w:tc>
        <w:tc>
          <w:tcPr>
            <w:tcW w:w="992" w:type="dxa"/>
            <w:tcBorders>
              <w:tl2br w:val="nil"/>
              <w:tr2bl w:val="nil"/>
            </w:tcBorders>
            <w:noWrap w:val="0"/>
            <w:vAlign w:val="center"/>
          </w:tcPr>
          <w:p w14:paraId="17364712">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w:t>
            </w:r>
          </w:p>
        </w:tc>
      </w:tr>
      <w:tr w14:paraId="41AEF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exact"/>
          <w:jc w:val="center"/>
        </w:trPr>
        <w:tc>
          <w:tcPr>
            <w:tcW w:w="2114" w:type="dxa"/>
            <w:vMerge w:val="restart"/>
            <w:tcBorders>
              <w:tl2br w:val="nil"/>
              <w:tr2bl w:val="nil"/>
            </w:tcBorders>
            <w:noWrap w:val="0"/>
            <w:vAlign w:val="center"/>
          </w:tcPr>
          <w:p w14:paraId="63CC1F65">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信息传输业 *</w:t>
            </w:r>
          </w:p>
        </w:tc>
        <w:tc>
          <w:tcPr>
            <w:tcW w:w="1369" w:type="dxa"/>
            <w:tcBorders>
              <w:tl2br w:val="nil"/>
              <w:tr2bl w:val="nil"/>
            </w:tcBorders>
            <w:noWrap w:val="0"/>
            <w:vAlign w:val="center"/>
          </w:tcPr>
          <w:p w14:paraId="3092DD0F">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709" w:type="dxa"/>
            <w:tcBorders>
              <w:tl2br w:val="nil"/>
              <w:tr2bl w:val="nil"/>
            </w:tcBorders>
            <w:noWrap w:val="0"/>
            <w:vAlign w:val="center"/>
          </w:tcPr>
          <w:p w14:paraId="62D808C4">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25" w:type="dxa"/>
            <w:tcBorders>
              <w:tl2br w:val="nil"/>
              <w:tr2bl w:val="nil"/>
            </w:tcBorders>
            <w:noWrap w:val="0"/>
            <w:vAlign w:val="center"/>
          </w:tcPr>
          <w:p w14:paraId="7F065A42">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X≥2000</w:t>
            </w:r>
          </w:p>
        </w:tc>
        <w:tc>
          <w:tcPr>
            <w:tcW w:w="1701" w:type="dxa"/>
            <w:tcBorders>
              <w:tl2br w:val="nil"/>
              <w:tr2bl w:val="nil"/>
            </w:tcBorders>
            <w:noWrap w:val="0"/>
            <w:vAlign w:val="center"/>
          </w:tcPr>
          <w:p w14:paraId="2C763ECF">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100≤X＜2000</w:t>
            </w:r>
          </w:p>
        </w:tc>
        <w:tc>
          <w:tcPr>
            <w:tcW w:w="1426" w:type="dxa"/>
            <w:tcBorders>
              <w:tl2br w:val="nil"/>
              <w:tr2bl w:val="nil"/>
            </w:tcBorders>
            <w:noWrap w:val="0"/>
            <w:vAlign w:val="center"/>
          </w:tcPr>
          <w:p w14:paraId="24534B86">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10≤X＜100</w:t>
            </w:r>
          </w:p>
        </w:tc>
        <w:tc>
          <w:tcPr>
            <w:tcW w:w="992" w:type="dxa"/>
            <w:tcBorders>
              <w:tl2br w:val="nil"/>
              <w:tr2bl w:val="nil"/>
            </w:tcBorders>
            <w:noWrap w:val="0"/>
            <w:vAlign w:val="center"/>
          </w:tcPr>
          <w:p w14:paraId="5A1F5C7E">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w:t>
            </w:r>
          </w:p>
        </w:tc>
      </w:tr>
      <w:tr w14:paraId="3D387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exact"/>
          <w:jc w:val="center"/>
        </w:trPr>
        <w:tc>
          <w:tcPr>
            <w:tcW w:w="2114" w:type="dxa"/>
            <w:vMerge w:val="continue"/>
            <w:tcBorders>
              <w:tl2br w:val="nil"/>
              <w:tr2bl w:val="nil"/>
            </w:tcBorders>
            <w:noWrap w:val="0"/>
            <w:vAlign w:val="center"/>
          </w:tcPr>
          <w:p w14:paraId="7D818BF5">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p>
        </w:tc>
        <w:tc>
          <w:tcPr>
            <w:tcW w:w="1369" w:type="dxa"/>
            <w:tcBorders>
              <w:tl2br w:val="nil"/>
              <w:tr2bl w:val="nil"/>
            </w:tcBorders>
            <w:noWrap w:val="0"/>
            <w:vAlign w:val="center"/>
          </w:tcPr>
          <w:p w14:paraId="668D3D8F">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709" w:type="dxa"/>
            <w:tcBorders>
              <w:tl2br w:val="nil"/>
              <w:tr2bl w:val="nil"/>
            </w:tcBorders>
            <w:noWrap w:val="0"/>
            <w:vAlign w:val="center"/>
          </w:tcPr>
          <w:p w14:paraId="77101183">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25" w:type="dxa"/>
            <w:tcBorders>
              <w:tl2br w:val="nil"/>
              <w:tr2bl w:val="nil"/>
            </w:tcBorders>
            <w:noWrap w:val="0"/>
            <w:vAlign w:val="center"/>
          </w:tcPr>
          <w:p w14:paraId="7BACCA0C">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Y≥100000</w:t>
            </w:r>
          </w:p>
        </w:tc>
        <w:tc>
          <w:tcPr>
            <w:tcW w:w="1701" w:type="dxa"/>
            <w:tcBorders>
              <w:tl2br w:val="nil"/>
              <w:tr2bl w:val="nil"/>
            </w:tcBorders>
            <w:noWrap w:val="0"/>
            <w:vAlign w:val="center"/>
          </w:tcPr>
          <w:p w14:paraId="6BE11781">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1000≤Y＜100000</w:t>
            </w:r>
          </w:p>
        </w:tc>
        <w:tc>
          <w:tcPr>
            <w:tcW w:w="1426" w:type="dxa"/>
            <w:tcBorders>
              <w:tl2br w:val="nil"/>
              <w:tr2bl w:val="nil"/>
            </w:tcBorders>
            <w:noWrap w:val="0"/>
            <w:vAlign w:val="center"/>
          </w:tcPr>
          <w:p w14:paraId="098A3B12">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100≤Y＜1000</w:t>
            </w:r>
          </w:p>
        </w:tc>
        <w:tc>
          <w:tcPr>
            <w:tcW w:w="992" w:type="dxa"/>
            <w:tcBorders>
              <w:tl2br w:val="nil"/>
              <w:tr2bl w:val="nil"/>
            </w:tcBorders>
            <w:noWrap w:val="0"/>
            <w:vAlign w:val="center"/>
          </w:tcPr>
          <w:p w14:paraId="4C2D7083">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w:t>
            </w:r>
          </w:p>
        </w:tc>
      </w:tr>
      <w:tr w14:paraId="67519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2114" w:type="dxa"/>
            <w:vMerge w:val="restart"/>
            <w:tcBorders>
              <w:tl2br w:val="nil"/>
              <w:tr2bl w:val="nil"/>
            </w:tcBorders>
            <w:noWrap w:val="0"/>
            <w:vAlign w:val="center"/>
          </w:tcPr>
          <w:p w14:paraId="72E92527">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spacing w:val="-12"/>
                <w:kern w:val="0"/>
                <w:sz w:val="21"/>
                <w:szCs w:val="21"/>
                <w:highlight w:val="none"/>
              </w:rPr>
            </w:pPr>
            <w:r>
              <w:rPr>
                <w:rFonts w:hint="eastAsia" w:ascii="宋体" w:hAnsi="宋体" w:eastAsia="宋体" w:cs="宋体"/>
                <w:color w:val="auto"/>
                <w:spacing w:val="-12"/>
                <w:kern w:val="0"/>
                <w:sz w:val="21"/>
                <w:szCs w:val="21"/>
                <w:highlight w:val="none"/>
              </w:rPr>
              <w:t>软件和信息技术服</w:t>
            </w:r>
            <w:r>
              <w:rPr>
                <w:rFonts w:hint="eastAsia" w:ascii="宋体" w:hAnsi="宋体" w:eastAsia="宋体" w:cs="宋体"/>
                <w:color w:val="auto"/>
                <w:kern w:val="0"/>
                <w:sz w:val="21"/>
                <w:szCs w:val="21"/>
                <w:highlight w:val="none"/>
              </w:rPr>
              <w:t>务业</w:t>
            </w:r>
          </w:p>
        </w:tc>
        <w:tc>
          <w:tcPr>
            <w:tcW w:w="1369" w:type="dxa"/>
            <w:tcBorders>
              <w:tl2br w:val="nil"/>
              <w:tr2bl w:val="nil"/>
            </w:tcBorders>
            <w:noWrap w:val="0"/>
            <w:vAlign w:val="center"/>
          </w:tcPr>
          <w:p w14:paraId="35B61E36">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709" w:type="dxa"/>
            <w:tcBorders>
              <w:tl2br w:val="nil"/>
              <w:tr2bl w:val="nil"/>
            </w:tcBorders>
            <w:noWrap w:val="0"/>
            <w:vAlign w:val="center"/>
          </w:tcPr>
          <w:p w14:paraId="5FD7191C">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25" w:type="dxa"/>
            <w:tcBorders>
              <w:tl2br w:val="nil"/>
              <w:tr2bl w:val="nil"/>
            </w:tcBorders>
            <w:noWrap w:val="0"/>
            <w:vAlign w:val="center"/>
          </w:tcPr>
          <w:p w14:paraId="5C2079A9">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X≥300</w:t>
            </w:r>
          </w:p>
        </w:tc>
        <w:tc>
          <w:tcPr>
            <w:tcW w:w="1701" w:type="dxa"/>
            <w:tcBorders>
              <w:tl2br w:val="nil"/>
              <w:tr2bl w:val="nil"/>
            </w:tcBorders>
            <w:noWrap w:val="0"/>
            <w:vAlign w:val="center"/>
          </w:tcPr>
          <w:p w14:paraId="1BB1A4E3">
            <w:pPr>
              <w:keepNext w:val="0"/>
              <w:keepLines w:val="0"/>
              <w:pageBreakBefore w:val="0"/>
              <w:widowControl/>
              <w:kinsoku/>
              <w:wordWrap w:val="0"/>
              <w:overflowPunct/>
              <w:topLinePunct/>
              <w:autoSpaceDE/>
              <w:autoSpaceDN/>
              <w:bidi w:val="0"/>
              <w:adjustRightInd/>
              <w:snapToGrid/>
              <w:spacing w:line="240" w:lineRule="auto"/>
              <w:ind w:left="-107" w:leftChars="-51"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100≤X＜300</w:t>
            </w:r>
          </w:p>
        </w:tc>
        <w:tc>
          <w:tcPr>
            <w:tcW w:w="1426" w:type="dxa"/>
            <w:tcBorders>
              <w:tl2br w:val="nil"/>
              <w:tr2bl w:val="nil"/>
            </w:tcBorders>
            <w:noWrap w:val="0"/>
            <w:vAlign w:val="center"/>
          </w:tcPr>
          <w:p w14:paraId="342C9233">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10≤X＜100</w:t>
            </w:r>
          </w:p>
        </w:tc>
        <w:tc>
          <w:tcPr>
            <w:tcW w:w="992" w:type="dxa"/>
            <w:tcBorders>
              <w:tl2br w:val="nil"/>
              <w:tr2bl w:val="nil"/>
            </w:tcBorders>
            <w:noWrap w:val="0"/>
            <w:vAlign w:val="center"/>
          </w:tcPr>
          <w:p w14:paraId="17C913EE">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w:t>
            </w:r>
          </w:p>
        </w:tc>
      </w:tr>
      <w:tr w14:paraId="524F3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2114" w:type="dxa"/>
            <w:vMerge w:val="continue"/>
            <w:tcBorders>
              <w:tl2br w:val="nil"/>
              <w:tr2bl w:val="nil"/>
            </w:tcBorders>
            <w:noWrap w:val="0"/>
            <w:vAlign w:val="center"/>
          </w:tcPr>
          <w:p w14:paraId="4912617D">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spacing w:val="-12"/>
                <w:kern w:val="0"/>
                <w:sz w:val="21"/>
                <w:szCs w:val="21"/>
                <w:highlight w:val="none"/>
              </w:rPr>
            </w:pPr>
          </w:p>
        </w:tc>
        <w:tc>
          <w:tcPr>
            <w:tcW w:w="1369" w:type="dxa"/>
            <w:tcBorders>
              <w:tl2br w:val="nil"/>
              <w:tr2bl w:val="nil"/>
            </w:tcBorders>
            <w:noWrap w:val="0"/>
            <w:vAlign w:val="center"/>
          </w:tcPr>
          <w:p w14:paraId="2088D03B">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709" w:type="dxa"/>
            <w:tcBorders>
              <w:tl2br w:val="nil"/>
              <w:tr2bl w:val="nil"/>
            </w:tcBorders>
            <w:noWrap w:val="0"/>
            <w:vAlign w:val="center"/>
          </w:tcPr>
          <w:p w14:paraId="5443E3E1">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25" w:type="dxa"/>
            <w:tcBorders>
              <w:tl2br w:val="nil"/>
              <w:tr2bl w:val="nil"/>
            </w:tcBorders>
            <w:noWrap w:val="0"/>
            <w:vAlign w:val="center"/>
          </w:tcPr>
          <w:p w14:paraId="321EFC1D">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Y≥10000</w:t>
            </w:r>
          </w:p>
        </w:tc>
        <w:tc>
          <w:tcPr>
            <w:tcW w:w="1701" w:type="dxa"/>
            <w:tcBorders>
              <w:tl2br w:val="nil"/>
              <w:tr2bl w:val="nil"/>
            </w:tcBorders>
            <w:noWrap w:val="0"/>
            <w:vAlign w:val="center"/>
          </w:tcPr>
          <w:p w14:paraId="51447A5E">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1000≤Y＜10000</w:t>
            </w:r>
          </w:p>
        </w:tc>
        <w:tc>
          <w:tcPr>
            <w:tcW w:w="1426" w:type="dxa"/>
            <w:tcBorders>
              <w:tl2br w:val="nil"/>
              <w:tr2bl w:val="nil"/>
            </w:tcBorders>
            <w:noWrap w:val="0"/>
            <w:vAlign w:val="center"/>
          </w:tcPr>
          <w:p w14:paraId="1558A9BF">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50≤Y＜1000</w:t>
            </w:r>
          </w:p>
        </w:tc>
        <w:tc>
          <w:tcPr>
            <w:tcW w:w="992" w:type="dxa"/>
            <w:tcBorders>
              <w:tl2br w:val="nil"/>
              <w:tr2bl w:val="nil"/>
            </w:tcBorders>
            <w:noWrap w:val="0"/>
            <w:vAlign w:val="center"/>
          </w:tcPr>
          <w:p w14:paraId="6AD60A31">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Y＜50</w:t>
            </w:r>
          </w:p>
        </w:tc>
      </w:tr>
      <w:tr w14:paraId="73F36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2114" w:type="dxa"/>
            <w:vMerge w:val="restart"/>
            <w:tcBorders>
              <w:tl2br w:val="nil"/>
              <w:tr2bl w:val="nil"/>
            </w:tcBorders>
            <w:noWrap w:val="0"/>
            <w:vAlign w:val="center"/>
          </w:tcPr>
          <w:p w14:paraId="25DBA065">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房地产开发经营</w:t>
            </w:r>
          </w:p>
        </w:tc>
        <w:tc>
          <w:tcPr>
            <w:tcW w:w="1369" w:type="dxa"/>
            <w:tcBorders>
              <w:tl2br w:val="nil"/>
              <w:tr2bl w:val="nil"/>
            </w:tcBorders>
            <w:noWrap w:val="0"/>
            <w:vAlign w:val="center"/>
          </w:tcPr>
          <w:p w14:paraId="113BEED3">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709" w:type="dxa"/>
            <w:tcBorders>
              <w:tl2br w:val="nil"/>
              <w:tr2bl w:val="nil"/>
            </w:tcBorders>
            <w:noWrap w:val="0"/>
            <w:vAlign w:val="center"/>
          </w:tcPr>
          <w:p w14:paraId="264F2E5F">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25" w:type="dxa"/>
            <w:tcBorders>
              <w:tl2br w:val="nil"/>
              <w:tr2bl w:val="nil"/>
            </w:tcBorders>
            <w:noWrap w:val="0"/>
            <w:vAlign w:val="center"/>
          </w:tcPr>
          <w:p w14:paraId="7C4F2820">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Y≥200000</w:t>
            </w:r>
          </w:p>
        </w:tc>
        <w:tc>
          <w:tcPr>
            <w:tcW w:w="1701" w:type="dxa"/>
            <w:tcBorders>
              <w:tl2br w:val="nil"/>
              <w:tr2bl w:val="nil"/>
            </w:tcBorders>
            <w:noWrap w:val="0"/>
            <w:vAlign w:val="center"/>
          </w:tcPr>
          <w:p w14:paraId="3F9CB449">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1000≤Y＜200000</w:t>
            </w:r>
          </w:p>
        </w:tc>
        <w:tc>
          <w:tcPr>
            <w:tcW w:w="1426" w:type="dxa"/>
            <w:tcBorders>
              <w:tl2br w:val="nil"/>
              <w:tr2bl w:val="nil"/>
            </w:tcBorders>
            <w:noWrap w:val="0"/>
            <w:vAlign w:val="center"/>
          </w:tcPr>
          <w:p w14:paraId="2E239566">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100≤Y＜1000</w:t>
            </w:r>
          </w:p>
        </w:tc>
        <w:tc>
          <w:tcPr>
            <w:tcW w:w="992" w:type="dxa"/>
            <w:tcBorders>
              <w:tl2br w:val="nil"/>
              <w:tr2bl w:val="nil"/>
            </w:tcBorders>
            <w:noWrap w:val="0"/>
            <w:vAlign w:val="center"/>
          </w:tcPr>
          <w:p w14:paraId="7B218BFB">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Y＜100</w:t>
            </w:r>
          </w:p>
        </w:tc>
      </w:tr>
      <w:tr w14:paraId="3BC8F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2114" w:type="dxa"/>
            <w:vMerge w:val="continue"/>
            <w:tcBorders>
              <w:tl2br w:val="nil"/>
              <w:tr2bl w:val="nil"/>
            </w:tcBorders>
            <w:noWrap w:val="0"/>
            <w:vAlign w:val="center"/>
          </w:tcPr>
          <w:p w14:paraId="7B358826">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p>
        </w:tc>
        <w:tc>
          <w:tcPr>
            <w:tcW w:w="1369" w:type="dxa"/>
            <w:tcBorders>
              <w:tl2br w:val="nil"/>
              <w:tr2bl w:val="nil"/>
            </w:tcBorders>
            <w:noWrap w:val="0"/>
            <w:vAlign w:val="center"/>
          </w:tcPr>
          <w:p w14:paraId="7973BC9E">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资产总额(Z)</w:t>
            </w:r>
          </w:p>
        </w:tc>
        <w:tc>
          <w:tcPr>
            <w:tcW w:w="709" w:type="dxa"/>
            <w:tcBorders>
              <w:tl2br w:val="nil"/>
              <w:tr2bl w:val="nil"/>
            </w:tcBorders>
            <w:noWrap w:val="0"/>
            <w:vAlign w:val="center"/>
          </w:tcPr>
          <w:p w14:paraId="74714009">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25" w:type="dxa"/>
            <w:tcBorders>
              <w:tl2br w:val="nil"/>
              <w:tr2bl w:val="nil"/>
            </w:tcBorders>
            <w:noWrap w:val="0"/>
            <w:vAlign w:val="center"/>
          </w:tcPr>
          <w:p w14:paraId="71342C30">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Z≥10000</w:t>
            </w:r>
          </w:p>
        </w:tc>
        <w:tc>
          <w:tcPr>
            <w:tcW w:w="1701" w:type="dxa"/>
            <w:tcBorders>
              <w:tl2br w:val="nil"/>
              <w:tr2bl w:val="nil"/>
            </w:tcBorders>
            <w:noWrap w:val="0"/>
            <w:vAlign w:val="center"/>
          </w:tcPr>
          <w:p w14:paraId="0531DC54">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5000≤Z＜10000</w:t>
            </w:r>
          </w:p>
        </w:tc>
        <w:tc>
          <w:tcPr>
            <w:tcW w:w="1426" w:type="dxa"/>
            <w:tcBorders>
              <w:tl2br w:val="nil"/>
              <w:tr2bl w:val="nil"/>
            </w:tcBorders>
            <w:noWrap w:val="0"/>
            <w:vAlign w:val="center"/>
          </w:tcPr>
          <w:p w14:paraId="1A50972E">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2000≤Z＜5000</w:t>
            </w:r>
          </w:p>
        </w:tc>
        <w:tc>
          <w:tcPr>
            <w:tcW w:w="992" w:type="dxa"/>
            <w:tcBorders>
              <w:tl2br w:val="nil"/>
              <w:tr2bl w:val="nil"/>
            </w:tcBorders>
            <w:noWrap w:val="0"/>
            <w:vAlign w:val="center"/>
          </w:tcPr>
          <w:p w14:paraId="7AB62996">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Z＜2000</w:t>
            </w:r>
          </w:p>
        </w:tc>
      </w:tr>
      <w:tr w14:paraId="32865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exact"/>
          <w:jc w:val="center"/>
        </w:trPr>
        <w:tc>
          <w:tcPr>
            <w:tcW w:w="2114" w:type="dxa"/>
            <w:vMerge w:val="restart"/>
            <w:tcBorders>
              <w:tl2br w:val="nil"/>
              <w:tr2bl w:val="nil"/>
            </w:tcBorders>
            <w:noWrap w:val="0"/>
            <w:vAlign w:val="center"/>
          </w:tcPr>
          <w:p w14:paraId="7C721A77">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物业管理</w:t>
            </w:r>
          </w:p>
        </w:tc>
        <w:tc>
          <w:tcPr>
            <w:tcW w:w="1369" w:type="dxa"/>
            <w:tcBorders>
              <w:tl2br w:val="nil"/>
              <w:tr2bl w:val="nil"/>
            </w:tcBorders>
            <w:noWrap w:val="0"/>
            <w:vAlign w:val="center"/>
          </w:tcPr>
          <w:p w14:paraId="091D7836">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709" w:type="dxa"/>
            <w:tcBorders>
              <w:tl2br w:val="nil"/>
              <w:tr2bl w:val="nil"/>
            </w:tcBorders>
            <w:noWrap w:val="0"/>
            <w:vAlign w:val="center"/>
          </w:tcPr>
          <w:p w14:paraId="06682855">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25" w:type="dxa"/>
            <w:tcBorders>
              <w:tl2br w:val="nil"/>
              <w:tr2bl w:val="nil"/>
            </w:tcBorders>
            <w:noWrap w:val="0"/>
            <w:vAlign w:val="center"/>
          </w:tcPr>
          <w:p w14:paraId="2469AE6C">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X≥1000</w:t>
            </w:r>
          </w:p>
        </w:tc>
        <w:tc>
          <w:tcPr>
            <w:tcW w:w="1701" w:type="dxa"/>
            <w:tcBorders>
              <w:tl2br w:val="nil"/>
              <w:tr2bl w:val="nil"/>
            </w:tcBorders>
            <w:noWrap w:val="0"/>
            <w:vAlign w:val="center"/>
          </w:tcPr>
          <w:p w14:paraId="2DCE7F09">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300≤X＜1000</w:t>
            </w:r>
          </w:p>
        </w:tc>
        <w:tc>
          <w:tcPr>
            <w:tcW w:w="1426" w:type="dxa"/>
            <w:tcBorders>
              <w:tl2br w:val="nil"/>
              <w:tr2bl w:val="nil"/>
            </w:tcBorders>
            <w:noWrap w:val="0"/>
            <w:vAlign w:val="center"/>
          </w:tcPr>
          <w:p w14:paraId="3CA4E835">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100≤X＜300</w:t>
            </w:r>
          </w:p>
        </w:tc>
        <w:tc>
          <w:tcPr>
            <w:tcW w:w="992" w:type="dxa"/>
            <w:tcBorders>
              <w:tl2br w:val="nil"/>
              <w:tr2bl w:val="nil"/>
            </w:tcBorders>
            <w:noWrap w:val="0"/>
            <w:vAlign w:val="center"/>
          </w:tcPr>
          <w:p w14:paraId="3B0E757F">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X＜100</w:t>
            </w:r>
          </w:p>
        </w:tc>
      </w:tr>
      <w:tr w14:paraId="1F789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exact"/>
          <w:jc w:val="center"/>
        </w:trPr>
        <w:tc>
          <w:tcPr>
            <w:tcW w:w="2114" w:type="dxa"/>
            <w:vMerge w:val="continue"/>
            <w:tcBorders>
              <w:tl2br w:val="nil"/>
              <w:tr2bl w:val="nil"/>
            </w:tcBorders>
            <w:noWrap w:val="0"/>
            <w:vAlign w:val="center"/>
          </w:tcPr>
          <w:p w14:paraId="1C86169E">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p>
        </w:tc>
        <w:tc>
          <w:tcPr>
            <w:tcW w:w="1369" w:type="dxa"/>
            <w:tcBorders>
              <w:tl2br w:val="nil"/>
              <w:tr2bl w:val="nil"/>
            </w:tcBorders>
            <w:noWrap w:val="0"/>
            <w:vAlign w:val="center"/>
          </w:tcPr>
          <w:p w14:paraId="4055961F">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营业收入(Y)</w:t>
            </w:r>
          </w:p>
        </w:tc>
        <w:tc>
          <w:tcPr>
            <w:tcW w:w="709" w:type="dxa"/>
            <w:tcBorders>
              <w:tl2br w:val="nil"/>
              <w:tr2bl w:val="nil"/>
            </w:tcBorders>
            <w:noWrap w:val="0"/>
            <w:vAlign w:val="center"/>
          </w:tcPr>
          <w:p w14:paraId="1C8A215E">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25" w:type="dxa"/>
            <w:tcBorders>
              <w:tl2br w:val="nil"/>
              <w:tr2bl w:val="nil"/>
            </w:tcBorders>
            <w:noWrap w:val="0"/>
            <w:vAlign w:val="center"/>
          </w:tcPr>
          <w:p w14:paraId="0EA69B6F">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Y≥5000</w:t>
            </w:r>
          </w:p>
        </w:tc>
        <w:tc>
          <w:tcPr>
            <w:tcW w:w="1701" w:type="dxa"/>
            <w:tcBorders>
              <w:tl2br w:val="nil"/>
              <w:tr2bl w:val="nil"/>
            </w:tcBorders>
            <w:noWrap w:val="0"/>
            <w:vAlign w:val="center"/>
          </w:tcPr>
          <w:p w14:paraId="62FF4E7B">
            <w:pPr>
              <w:keepNext w:val="0"/>
              <w:keepLines w:val="0"/>
              <w:pageBreakBefore w:val="0"/>
              <w:widowControl/>
              <w:kinsoku/>
              <w:wordWrap w:val="0"/>
              <w:overflowPunct/>
              <w:topLinePunct/>
              <w:autoSpaceDE/>
              <w:autoSpaceDN/>
              <w:bidi w:val="0"/>
              <w:adjustRightInd/>
              <w:snapToGrid/>
              <w:spacing w:line="240" w:lineRule="auto"/>
              <w:ind w:left="-107" w:leftChars="-51"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1000≤Y＜5000</w:t>
            </w:r>
          </w:p>
        </w:tc>
        <w:tc>
          <w:tcPr>
            <w:tcW w:w="1426" w:type="dxa"/>
            <w:tcBorders>
              <w:tl2br w:val="nil"/>
              <w:tr2bl w:val="nil"/>
            </w:tcBorders>
            <w:noWrap w:val="0"/>
            <w:vAlign w:val="center"/>
          </w:tcPr>
          <w:p w14:paraId="60F22393">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500≤Y＜1000</w:t>
            </w:r>
          </w:p>
        </w:tc>
        <w:tc>
          <w:tcPr>
            <w:tcW w:w="992" w:type="dxa"/>
            <w:tcBorders>
              <w:tl2br w:val="nil"/>
              <w:tr2bl w:val="nil"/>
            </w:tcBorders>
            <w:noWrap w:val="0"/>
            <w:vAlign w:val="center"/>
          </w:tcPr>
          <w:p w14:paraId="00E0B5E1">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Y＜500</w:t>
            </w:r>
          </w:p>
        </w:tc>
      </w:tr>
      <w:tr w14:paraId="4C20C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exact"/>
          <w:jc w:val="center"/>
        </w:trPr>
        <w:tc>
          <w:tcPr>
            <w:tcW w:w="2114" w:type="dxa"/>
            <w:vMerge w:val="restart"/>
            <w:tcBorders>
              <w:tl2br w:val="nil"/>
              <w:tr2bl w:val="nil"/>
            </w:tcBorders>
            <w:noWrap w:val="0"/>
            <w:vAlign w:val="center"/>
          </w:tcPr>
          <w:p w14:paraId="2E239E56">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租赁和商务服务业</w:t>
            </w:r>
          </w:p>
        </w:tc>
        <w:tc>
          <w:tcPr>
            <w:tcW w:w="1369" w:type="dxa"/>
            <w:tcBorders>
              <w:tl2br w:val="nil"/>
              <w:tr2bl w:val="nil"/>
            </w:tcBorders>
            <w:noWrap w:val="0"/>
            <w:vAlign w:val="center"/>
          </w:tcPr>
          <w:p w14:paraId="6BD806D2">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709" w:type="dxa"/>
            <w:tcBorders>
              <w:tl2br w:val="nil"/>
              <w:tr2bl w:val="nil"/>
            </w:tcBorders>
            <w:noWrap w:val="0"/>
            <w:vAlign w:val="center"/>
          </w:tcPr>
          <w:p w14:paraId="356E5F9B">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25" w:type="dxa"/>
            <w:tcBorders>
              <w:tl2br w:val="nil"/>
              <w:tr2bl w:val="nil"/>
            </w:tcBorders>
            <w:noWrap w:val="0"/>
            <w:vAlign w:val="center"/>
          </w:tcPr>
          <w:p w14:paraId="1A4A92F6">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X≥300</w:t>
            </w:r>
          </w:p>
        </w:tc>
        <w:tc>
          <w:tcPr>
            <w:tcW w:w="1701" w:type="dxa"/>
            <w:tcBorders>
              <w:tl2br w:val="nil"/>
              <w:tr2bl w:val="nil"/>
            </w:tcBorders>
            <w:noWrap w:val="0"/>
            <w:vAlign w:val="center"/>
          </w:tcPr>
          <w:p w14:paraId="4D246540">
            <w:pPr>
              <w:keepNext w:val="0"/>
              <w:keepLines w:val="0"/>
              <w:pageBreakBefore w:val="0"/>
              <w:widowControl/>
              <w:kinsoku/>
              <w:wordWrap w:val="0"/>
              <w:overflowPunct/>
              <w:topLinePunct/>
              <w:autoSpaceDE/>
              <w:autoSpaceDN/>
              <w:bidi w:val="0"/>
              <w:adjustRightInd/>
              <w:snapToGrid/>
              <w:spacing w:line="240" w:lineRule="auto"/>
              <w:ind w:left="-107" w:leftChars="-51"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100≤X＜300</w:t>
            </w:r>
          </w:p>
        </w:tc>
        <w:tc>
          <w:tcPr>
            <w:tcW w:w="1426" w:type="dxa"/>
            <w:tcBorders>
              <w:tl2br w:val="nil"/>
              <w:tr2bl w:val="nil"/>
            </w:tcBorders>
            <w:noWrap w:val="0"/>
            <w:vAlign w:val="center"/>
          </w:tcPr>
          <w:p w14:paraId="446BEE46">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10≤X＜100</w:t>
            </w:r>
          </w:p>
        </w:tc>
        <w:tc>
          <w:tcPr>
            <w:tcW w:w="992" w:type="dxa"/>
            <w:tcBorders>
              <w:tl2br w:val="nil"/>
              <w:tr2bl w:val="nil"/>
            </w:tcBorders>
            <w:noWrap w:val="0"/>
            <w:vAlign w:val="center"/>
          </w:tcPr>
          <w:p w14:paraId="1FA510CA">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w:t>
            </w:r>
          </w:p>
        </w:tc>
      </w:tr>
      <w:tr w14:paraId="71278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exact"/>
          <w:jc w:val="center"/>
        </w:trPr>
        <w:tc>
          <w:tcPr>
            <w:tcW w:w="2114" w:type="dxa"/>
            <w:vMerge w:val="continue"/>
            <w:tcBorders>
              <w:tl2br w:val="nil"/>
              <w:tr2bl w:val="nil"/>
            </w:tcBorders>
            <w:noWrap w:val="0"/>
            <w:vAlign w:val="center"/>
          </w:tcPr>
          <w:p w14:paraId="2D38C007">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p>
        </w:tc>
        <w:tc>
          <w:tcPr>
            <w:tcW w:w="1369" w:type="dxa"/>
            <w:tcBorders>
              <w:tl2br w:val="nil"/>
              <w:tr2bl w:val="nil"/>
            </w:tcBorders>
            <w:noWrap w:val="0"/>
            <w:vAlign w:val="center"/>
          </w:tcPr>
          <w:p w14:paraId="14CB0807">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资产总额(Z)</w:t>
            </w:r>
          </w:p>
        </w:tc>
        <w:tc>
          <w:tcPr>
            <w:tcW w:w="709" w:type="dxa"/>
            <w:tcBorders>
              <w:tl2br w:val="nil"/>
              <w:tr2bl w:val="nil"/>
            </w:tcBorders>
            <w:noWrap w:val="0"/>
            <w:vAlign w:val="center"/>
          </w:tcPr>
          <w:p w14:paraId="56173591">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万元</w:t>
            </w:r>
          </w:p>
        </w:tc>
        <w:tc>
          <w:tcPr>
            <w:tcW w:w="1125" w:type="dxa"/>
            <w:tcBorders>
              <w:tl2br w:val="nil"/>
              <w:tr2bl w:val="nil"/>
            </w:tcBorders>
            <w:noWrap w:val="0"/>
            <w:vAlign w:val="center"/>
          </w:tcPr>
          <w:p w14:paraId="514DEA5F">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Z≥120000</w:t>
            </w:r>
          </w:p>
        </w:tc>
        <w:tc>
          <w:tcPr>
            <w:tcW w:w="1701" w:type="dxa"/>
            <w:tcBorders>
              <w:tl2br w:val="nil"/>
              <w:tr2bl w:val="nil"/>
            </w:tcBorders>
            <w:noWrap w:val="0"/>
            <w:vAlign w:val="center"/>
          </w:tcPr>
          <w:p w14:paraId="552FBF6C">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8000≤Z＜120000</w:t>
            </w:r>
          </w:p>
        </w:tc>
        <w:tc>
          <w:tcPr>
            <w:tcW w:w="1426" w:type="dxa"/>
            <w:tcBorders>
              <w:tl2br w:val="nil"/>
              <w:tr2bl w:val="nil"/>
            </w:tcBorders>
            <w:noWrap w:val="0"/>
            <w:vAlign w:val="center"/>
          </w:tcPr>
          <w:p w14:paraId="52D74E52">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100≤Z＜8000</w:t>
            </w:r>
          </w:p>
        </w:tc>
        <w:tc>
          <w:tcPr>
            <w:tcW w:w="992" w:type="dxa"/>
            <w:tcBorders>
              <w:tl2br w:val="nil"/>
              <w:tr2bl w:val="nil"/>
            </w:tcBorders>
            <w:noWrap w:val="0"/>
            <w:vAlign w:val="center"/>
          </w:tcPr>
          <w:p w14:paraId="3984B49E">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Z＜100</w:t>
            </w:r>
          </w:p>
        </w:tc>
      </w:tr>
      <w:tr w14:paraId="4AB98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2" w:hRule="exact"/>
          <w:jc w:val="center"/>
        </w:trPr>
        <w:tc>
          <w:tcPr>
            <w:tcW w:w="2114" w:type="dxa"/>
            <w:tcBorders>
              <w:tl2br w:val="nil"/>
              <w:tr2bl w:val="nil"/>
            </w:tcBorders>
            <w:noWrap w:val="0"/>
            <w:vAlign w:val="center"/>
          </w:tcPr>
          <w:p w14:paraId="09B7905D">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其他未列明行业 *</w:t>
            </w:r>
          </w:p>
        </w:tc>
        <w:tc>
          <w:tcPr>
            <w:tcW w:w="1369" w:type="dxa"/>
            <w:tcBorders>
              <w:tl2br w:val="nil"/>
              <w:tr2bl w:val="nil"/>
            </w:tcBorders>
            <w:noWrap w:val="0"/>
            <w:vAlign w:val="center"/>
          </w:tcPr>
          <w:p w14:paraId="3BDC5506">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从业人员(X)</w:t>
            </w:r>
          </w:p>
        </w:tc>
        <w:tc>
          <w:tcPr>
            <w:tcW w:w="709" w:type="dxa"/>
            <w:tcBorders>
              <w:tl2br w:val="nil"/>
              <w:tr2bl w:val="nil"/>
            </w:tcBorders>
            <w:noWrap w:val="0"/>
            <w:vAlign w:val="center"/>
          </w:tcPr>
          <w:p w14:paraId="2DC8658B">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人</w:t>
            </w:r>
          </w:p>
        </w:tc>
        <w:tc>
          <w:tcPr>
            <w:tcW w:w="1125" w:type="dxa"/>
            <w:tcBorders>
              <w:tl2br w:val="nil"/>
              <w:tr2bl w:val="nil"/>
            </w:tcBorders>
            <w:noWrap w:val="0"/>
            <w:vAlign w:val="center"/>
          </w:tcPr>
          <w:p w14:paraId="46AE12FF">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X≥300</w:t>
            </w:r>
          </w:p>
        </w:tc>
        <w:tc>
          <w:tcPr>
            <w:tcW w:w="1701" w:type="dxa"/>
            <w:tcBorders>
              <w:tl2br w:val="nil"/>
              <w:tr2bl w:val="nil"/>
            </w:tcBorders>
            <w:noWrap w:val="0"/>
            <w:vAlign w:val="center"/>
          </w:tcPr>
          <w:p w14:paraId="770B4A5E">
            <w:pPr>
              <w:keepNext w:val="0"/>
              <w:keepLines w:val="0"/>
              <w:pageBreakBefore w:val="0"/>
              <w:widowControl/>
              <w:kinsoku/>
              <w:wordWrap w:val="0"/>
              <w:overflowPunct/>
              <w:topLinePunct/>
              <w:autoSpaceDE/>
              <w:autoSpaceDN/>
              <w:bidi w:val="0"/>
              <w:adjustRightInd/>
              <w:snapToGrid/>
              <w:spacing w:line="240" w:lineRule="auto"/>
              <w:ind w:left="-107" w:leftChars="-51"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100≤X＜300</w:t>
            </w:r>
          </w:p>
        </w:tc>
        <w:tc>
          <w:tcPr>
            <w:tcW w:w="1426" w:type="dxa"/>
            <w:tcBorders>
              <w:tl2br w:val="nil"/>
              <w:tr2bl w:val="nil"/>
            </w:tcBorders>
            <w:noWrap w:val="0"/>
            <w:vAlign w:val="center"/>
          </w:tcPr>
          <w:p w14:paraId="24F072EC">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10≤X＜100</w:t>
            </w:r>
          </w:p>
        </w:tc>
        <w:tc>
          <w:tcPr>
            <w:tcW w:w="992" w:type="dxa"/>
            <w:tcBorders>
              <w:tl2br w:val="nil"/>
              <w:tr2bl w:val="nil"/>
            </w:tcBorders>
            <w:noWrap w:val="0"/>
            <w:vAlign w:val="center"/>
          </w:tcPr>
          <w:p w14:paraId="00CE4D62">
            <w:pPr>
              <w:keepNext w:val="0"/>
              <w:keepLines w:val="0"/>
              <w:pageBreakBefore w:val="0"/>
              <w:widowControl/>
              <w:kinsoku/>
              <w:wordWrap w:val="0"/>
              <w:overflowPunct/>
              <w:topLinePunct/>
              <w:autoSpaceDE/>
              <w:autoSpaceDN/>
              <w:bidi w:val="0"/>
              <w:adjustRightInd/>
              <w:snapToGrid/>
              <w:spacing w:line="240" w:lineRule="auto"/>
              <w:ind w:firstLine="0" w:firstLineChars="0"/>
              <w:jc w:val="center"/>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X＜10</w:t>
            </w:r>
          </w:p>
        </w:tc>
      </w:tr>
    </w:tbl>
    <w:p w14:paraId="6E1C916B">
      <w:pPr>
        <w:widowControl/>
        <w:spacing w:line="540" w:lineRule="exact"/>
        <w:rPr>
          <w:rFonts w:hint="eastAsia" w:ascii="宋体" w:hAnsi="宋体" w:eastAsia="宋体" w:cs="宋体"/>
          <w:color w:val="auto"/>
          <w:spacing w:val="8"/>
          <w:kern w:val="0"/>
          <w:sz w:val="21"/>
          <w:szCs w:val="21"/>
          <w:highlight w:val="none"/>
        </w:rPr>
      </w:pPr>
      <w:r>
        <w:rPr>
          <w:rFonts w:hint="eastAsia" w:ascii="宋体" w:hAnsi="宋体" w:eastAsia="宋体" w:cs="宋体"/>
          <w:color w:val="auto"/>
          <w:spacing w:val="8"/>
          <w:kern w:val="0"/>
          <w:sz w:val="21"/>
          <w:szCs w:val="21"/>
          <w:highlight w:val="none"/>
        </w:rPr>
        <w:t>说明：</w:t>
      </w:r>
    </w:p>
    <w:p w14:paraId="073ED20C">
      <w:pPr>
        <w:spacing w:line="540" w:lineRule="exact"/>
        <w:rPr>
          <w:rFonts w:hint="eastAsia" w:ascii="宋体" w:hAnsi="宋体" w:eastAsia="宋体" w:cs="宋体"/>
          <w:color w:val="auto"/>
          <w:spacing w:val="8"/>
          <w:kern w:val="0"/>
          <w:sz w:val="21"/>
          <w:szCs w:val="21"/>
          <w:highlight w:val="none"/>
        </w:rPr>
      </w:pPr>
      <w:r>
        <w:rPr>
          <w:rFonts w:hint="eastAsia" w:ascii="宋体" w:hAnsi="宋体" w:eastAsia="宋体" w:cs="宋体"/>
          <w:color w:val="auto"/>
          <w:spacing w:val="8"/>
          <w:kern w:val="0"/>
          <w:sz w:val="21"/>
          <w:szCs w:val="21"/>
          <w:highlight w:val="none"/>
        </w:rPr>
        <w:t>　　1.大型、中型和小型企业须同时满足所列指标的下限，否则下划一档；微型企业只须满足所列指标中的一项即可。</w:t>
      </w:r>
    </w:p>
    <w:p w14:paraId="7CA59ACE">
      <w:pPr>
        <w:spacing w:line="540" w:lineRule="exact"/>
        <w:rPr>
          <w:rFonts w:hint="eastAsia" w:ascii="宋体" w:hAnsi="宋体" w:eastAsia="宋体" w:cs="宋体"/>
          <w:color w:val="auto"/>
          <w:spacing w:val="8"/>
          <w:kern w:val="0"/>
          <w:sz w:val="21"/>
          <w:szCs w:val="21"/>
          <w:highlight w:val="none"/>
        </w:rPr>
      </w:pPr>
      <w:r>
        <w:rPr>
          <w:rFonts w:hint="eastAsia" w:ascii="宋体" w:hAnsi="宋体" w:eastAsia="宋体" w:cs="宋体"/>
          <w:color w:val="auto"/>
          <w:spacing w:val="8"/>
          <w:kern w:val="0"/>
          <w:sz w:val="21"/>
          <w:szCs w:val="21"/>
          <w:highlight w:val="none"/>
        </w:rPr>
        <w:t>　　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业，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6E7C3C80">
      <w:pPr>
        <w:spacing w:line="540" w:lineRule="exact"/>
        <w:rPr>
          <w:rFonts w:hint="eastAsia" w:ascii="宋体" w:hAnsi="宋体" w:eastAsia="宋体" w:cs="宋体"/>
          <w:color w:val="auto"/>
          <w:sz w:val="21"/>
          <w:szCs w:val="21"/>
          <w:highlight w:val="none"/>
        </w:rPr>
      </w:pPr>
      <w:r>
        <w:rPr>
          <w:rFonts w:hint="eastAsia" w:ascii="宋体" w:hAnsi="宋体" w:eastAsia="宋体" w:cs="宋体"/>
          <w:color w:val="auto"/>
          <w:spacing w:val="8"/>
          <w:kern w:val="0"/>
          <w:sz w:val="21"/>
          <w:szCs w:val="21"/>
          <w:highlight w:val="none"/>
        </w:rPr>
        <w:t>　　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5C49BFB0">
      <w:pPr>
        <w:pStyle w:val="6"/>
        <w:rPr>
          <w:rFonts w:hint="eastAsia" w:ascii="宋体" w:hAnsi="宋体" w:eastAsia="宋体" w:cs="宋体"/>
          <w:b/>
          <w:color w:val="auto"/>
          <w:sz w:val="21"/>
          <w:szCs w:val="21"/>
          <w:highlight w:val="none"/>
        </w:rPr>
      </w:pPr>
    </w:p>
    <w:p w14:paraId="2E8DCA34">
      <w:pPr>
        <w:pStyle w:val="6"/>
        <w:rPr>
          <w:rFonts w:hint="eastAsia" w:ascii="宋体" w:hAnsi="宋体" w:eastAsia="宋体" w:cs="宋体"/>
          <w:b/>
          <w:color w:val="auto"/>
          <w:sz w:val="21"/>
          <w:szCs w:val="21"/>
          <w:highlight w:val="none"/>
        </w:rPr>
      </w:pPr>
    </w:p>
    <w:p w14:paraId="3E17E712">
      <w:pPr>
        <w:pStyle w:val="6"/>
        <w:rPr>
          <w:rFonts w:hint="eastAsia" w:ascii="宋体" w:hAnsi="宋体" w:eastAsia="宋体" w:cs="宋体"/>
          <w:b/>
          <w:color w:val="auto"/>
          <w:sz w:val="21"/>
          <w:szCs w:val="21"/>
          <w:highlight w:val="none"/>
        </w:rPr>
      </w:pPr>
    </w:p>
    <w:p w14:paraId="67CCC6C7">
      <w:pPr>
        <w:pStyle w:val="6"/>
        <w:rPr>
          <w:rFonts w:hint="eastAsia" w:ascii="宋体" w:hAnsi="宋体" w:eastAsia="宋体" w:cs="宋体"/>
          <w:b/>
          <w:color w:val="auto"/>
          <w:sz w:val="21"/>
          <w:szCs w:val="21"/>
          <w:highlight w:val="none"/>
        </w:rPr>
      </w:pPr>
    </w:p>
    <w:p w14:paraId="718E7F84">
      <w:pPr>
        <w:pStyle w:val="6"/>
        <w:rPr>
          <w:rFonts w:hint="eastAsia" w:ascii="宋体" w:hAnsi="宋体" w:eastAsia="宋体" w:cs="宋体"/>
          <w:b/>
          <w:color w:val="auto"/>
          <w:sz w:val="21"/>
          <w:szCs w:val="21"/>
          <w:highlight w:val="none"/>
        </w:rPr>
      </w:pPr>
    </w:p>
    <w:p w14:paraId="6D9C7432">
      <w:pPr>
        <w:pStyle w:val="6"/>
        <w:rPr>
          <w:rFonts w:hint="eastAsia" w:ascii="宋体" w:hAnsi="宋体" w:eastAsia="宋体" w:cs="宋体"/>
          <w:b/>
          <w:color w:val="auto"/>
          <w:sz w:val="21"/>
          <w:szCs w:val="21"/>
          <w:highlight w:val="none"/>
        </w:rPr>
      </w:pPr>
    </w:p>
    <w:p w14:paraId="23BA1D57">
      <w:pPr>
        <w:pStyle w:val="6"/>
        <w:rPr>
          <w:rFonts w:hint="eastAsia" w:ascii="宋体" w:hAnsi="宋体" w:eastAsia="宋体" w:cs="宋体"/>
          <w:b/>
          <w:color w:val="auto"/>
          <w:sz w:val="21"/>
          <w:szCs w:val="21"/>
          <w:highlight w:val="none"/>
        </w:rPr>
      </w:pPr>
    </w:p>
    <w:p w14:paraId="5A1E2F3C">
      <w:pPr>
        <w:pStyle w:val="6"/>
        <w:rPr>
          <w:rFonts w:hint="eastAsia" w:ascii="宋体" w:hAnsi="宋体" w:eastAsia="宋体" w:cs="宋体"/>
          <w:b/>
          <w:color w:val="auto"/>
          <w:sz w:val="21"/>
          <w:szCs w:val="21"/>
          <w:highlight w:val="none"/>
        </w:rPr>
      </w:pPr>
    </w:p>
    <w:p w14:paraId="0478868A">
      <w:pPr>
        <w:pStyle w:val="6"/>
        <w:rPr>
          <w:rFonts w:hint="eastAsia" w:ascii="宋体" w:hAnsi="宋体" w:eastAsia="宋体" w:cs="宋体"/>
          <w:b/>
          <w:color w:val="auto"/>
          <w:sz w:val="21"/>
          <w:szCs w:val="21"/>
          <w:highlight w:val="none"/>
        </w:rPr>
      </w:pPr>
    </w:p>
    <w:p w14:paraId="5254FE37">
      <w:pPr>
        <w:pStyle w:val="6"/>
        <w:rPr>
          <w:rFonts w:hint="eastAsia" w:ascii="宋体" w:hAnsi="宋体" w:eastAsia="宋体" w:cs="宋体"/>
          <w:b/>
          <w:color w:val="auto"/>
          <w:sz w:val="21"/>
          <w:szCs w:val="21"/>
          <w:highlight w:val="none"/>
        </w:rPr>
      </w:pPr>
    </w:p>
    <w:p w14:paraId="1AA7D430">
      <w:pPr>
        <w:pStyle w:val="6"/>
        <w:rPr>
          <w:rFonts w:hint="eastAsia" w:ascii="宋体" w:hAnsi="宋体" w:eastAsia="宋体" w:cs="宋体"/>
          <w:b/>
          <w:color w:val="auto"/>
          <w:sz w:val="21"/>
          <w:szCs w:val="21"/>
          <w:highlight w:val="none"/>
        </w:rPr>
      </w:pPr>
    </w:p>
    <w:p w14:paraId="3B0789B1">
      <w:pPr>
        <w:pStyle w:val="6"/>
        <w:rPr>
          <w:rFonts w:hint="eastAsia" w:ascii="宋体" w:hAnsi="宋体" w:eastAsia="宋体" w:cs="宋体"/>
          <w:b/>
          <w:color w:val="auto"/>
          <w:sz w:val="21"/>
          <w:szCs w:val="21"/>
          <w:highlight w:val="none"/>
        </w:rPr>
      </w:pPr>
    </w:p>
    <w:p w14:paraId="69B9ADDB">
      <w:pPr>
        <w:pStyle w:val="6"/>
        <w:rPr>
          <w:rFonts w:hint="eastAsia" w:ascii="宋体" w:hAnsi="宋体" w:eastAsia="宋体" w:cs="宋体"/>
          <w:b/>
          <w:color w:val="auto"/>
          <w:sz w:val="21"/>
          <w:szCs w:val="21"/>
          <w:highlight w:val="none"/>
        </w:rPr>
      </w:pPr>
    </w:p>
    <w:p w14:paraId="141FC544">
      <w:pPr>
        <w:pStyle w:val="6"/>
        <w:rPr>
          <w:rFonts w:hint="eastAsia" w:ascii="宋体" w:hAnsi="宋体" w:eastAsia="宋体" w:cs="宋体"/>
          <w:b/>
          <w:color w:val="auto"/>
          <w:sz w:val="21"/>
          <w:szCs w:val="21"/>
          <w:highlight w:val="none"/>
        </w:rPr>
      </w:pPr>
    </w:p>
    <w:p w14:paraId="11E5DC10">
      <w:pPr>
        <w:pStyle w:val="6"/>
        <w:rPr>
          <w:rFonts w:hint="eastAsia" w:ascii="宋体" w:hAnsi="宋体" w:eastAsia="宋体" w:cs="宋体"/>
          <w:b/>
          <w:color w:val="auto"/>
          <w:sz w:val="21"/>
          <w:szCs w:val="21"/>
          <w:highlight w:val="none"/>
        </w:rPr>
      </w:pPr>
    </w:p>
    <w:p w14:paraId="29D2C0AB">
      <w:pPr>
        <w:pStyle w:val="6"/>
        <w:rPr>
          <w:rFonts w:hint="eastAsia" w:ascii="宋体" w:hAnsi="宋体" w:eastAsia="宋体" w:cs="宋体"/>
          <w:b/>
          <w:color w:val="auto"/>
          <w:sz w:val="21"/>
          <w:szCs w:val="21"/>
          <w:highlight w:val="none"/>
        </w:rPr>
      </w:pPr>
    </w:p>
    <w:p w14:paraId="49681FEA">
      <w:pPr>
        <w:pStyle w:val="6"/>
        <w:rPr>
          <w:rFonts w:hint="eastAsia" w:ascii="宋体" w:hAnsi="宋体" w:eastAsia="宋体" w:cs="宋体"/>
          <w:b/>
          <w:color w:val="auto"/>
          <w:sz w:val="21"/>
          <w:szCs w:val="21"/>
          <w:highlight w:val="none"/>
        </w:rPr>
      </w:pPr>
    </w:p>
    <w:p w14:paraId="66C69499">
      <w:pPr>
        <w:autoSpaceDE w:val="0"/>
        <w:autoSpaceDN w:val="0"/>
        <w:adjustRightInd w:val="0"/>
        <w:spacing w:line="360" w:lineRule="auto"/>
        <w:outlineLvl w:val="9"/>
        <w:rPr>
          <w:rFonts w:hint="eastAsia" w:hAnsi="宋体" w:cs="宋体"/>
          <w:b/>
          <w:color w:val="auto"/>
          <w:sz w:val="24"/>
          <w:szCs w:val="24"/>
          <w:highlight w:val="none"/>
          <w:lang w:val="zh-CN"/>
        </w:rPr>
      </w:pPr>
      <w:bookmarkStart w:id="166" w:name="_Toc217446098"/>
    </w:p>
    <w:bookmarkEnd w:id="166"/>
    <w:p w14:paraId="5160EFFC">
      <w:pPr>
        <w:widowControl/>
        <w:adjustRightInd w:val="0"/>
        <w:snapToGrid w:val="0"/>
        <w:spacing w:before="120" w:beforeLines="50" w:after="120" w:afterLines="50" w:line="600" w:lineRule="exact"/>
        <w:jc w:val="center"/>
        <w:rPr>
          <w:rFonts w:hint="eastAsia" w:hAnsi="宋体" w:cs="宋体"/>
          <w:b/>
          <w:color w:val="auto"/>
          <w:kern w:val="0"/>
          <w:sz w:val="32"/>
          <w:szCs w:val="32"/>
          <w:highlight w:val="none"/>
          <w:lang w:bidi="ar"/>
        </w:rPr>
      </w:pPr>
      <w:r>
        <w:rPr>
          <w:rFonts w:hint="eastAsia" w:hAnsi="宋体" w:cs="宋体"/>
          <w:b/>
          <w:color w:val="auto"/>
          <w:kern w:val="0"/>
          <w:sz w:val="32"/>
          <w:szCs w:val="32"/>
          <w:highlight w:val="none"/>
          <w:lang w:eastAsia="zh-CN" w:bidi="ar"/>
        </w:rPr>
        <w:t>（</w:t>
      </w:r>
      <w:r>
        <w:rPr>
          <w:rFonts w:hint="eastAsia" w:hAnsi="宋体" w:cs="宋体"/>
          <w:b/>
          <w:color w:val="auto"/>
          <w:kern w:val="0"/>
          <w:sz w:val="32"/>
          <w:szCs w:val="32"/>
          <w:highlight w:val="none"/>
          <w:lang w:val="en-US" w:eastAsia="zh-CN" w:bidi="ar"/>
        </w:rPr>
        <w:t>二</w:t>
      </w:r>
      <w:r>
        <w:rPr>
          <w:rFonts w:hint="eastAsia" w:hAnsi="宋体" w:cs="宋体"/>
          <w:b/>
          <w:color w:val="auto"/>
          <w:kern w:val="0"/>
          <w:sz w:val="32"/>
          <w:szCs w:val="32"/>
          <w:highlight w:val="none"/>
          <w:lang w:eastAsia="zh-CN" w:bidi="ar"/>
        </w:rPr>
        <w:t>）</w:t>
      </w:r>
      <w:r>
        <w:rPr>
          <w:rFonts w:hint="eastAsia" w:hAnsi="宋体" w:cs="宋体"/>
          <w:b/>
          <w:color w:val="auto"/>
          <w:kern w:val="0"/>
          <w:sz w:val="32"/>
          <w:szCs w:val="32"/>
          <w:highlight w:val="none"/>
          <w:lang w:bidi="ar"/>
        </w:rPr>
        <w:t>残疾人福利性单位声明函</w:t>
      </w:r>
    </w:p>
    <w:p w14:paraId="744CD425">
      <w:pPr>
        <w:spacing w:line="480" w:lineRule="auto"/>
        <w:jc w:val="center"/>
        <w:rPr>
          <w:rFonts w:hint="eastAsia" w:ascii="仿宋_GB2312" w:hAnsi="Calibri" w:eastAsia="仿宋_GB2312" w:cs="仿宋_GB2312"/>
          <w:b/>
          <w:color w:val="auto"/>
          <w:spacing w:val="6"/>
          <w:sz w:val="30"/>
          <w:szCs w:val="30"/>
          <w:highlight w:val="none"/>
        </w:rPr>
      </w:pPr>
      <w:r>
        <w:rPr>
          <w:rFonts w:hint="eastAsia" w:hAnsi="宋体" w:cs="宋体"/>
          <w:color w:val="auto"/>
          <w:sz w:val="24"/>
          <w:szCs w:val="24"/>
          <w:highlight w:val="none"/>
          <w:u w:val="single"/>
          <w:lang w:bidi="ar"/>
        </w:rPr>
        <w:t>【不属于残疾人福利性单位的无需填写】</w:t>
      </w:r>
    </w:p>
    <w:p w14:paraId="084C5E3F">
      <w:pPr>
        <w:spacing w:line="480" w:lineRule="auto"/>
        <w:ind w:firstLine="504" w:firstLineChars="200"/>
        <w:rPr>
          <w:rFonts w:hint="eastAsia" w:hAnsi="宋体" w:cs="宋体"/>
          <w:color w:val="auto"/>
          <w:spacing w:val="6"/>
          <w:sz w:val="24"/>
          <w:szCs w:val="24"/>
          <w:highlight w:val="none"/>
        </w:rPr>
      </w:pPr>
      <w:r>
        <w:rPr>
          <w:rFonts w:hint="eastAsia" w:hAnsi="宋体" w:cs="宋体"/>
          <w:color w:val="auto"/>
          <w:spacing w:val="6"/>
          <w:sz w:val="24"/>
          <w:szCs w:val="24"/>
          <w:highlight w:val="none"/>
          <w:lang w:bidi="ar"/>
        </w:rPr>
        <w:t>本单位郑重声明，根据《财政部 民政部 中国残疾人联合会关于促进残疾人就业政府采购政策的通知》（财库</w:t>
      </w:r>
      <w:r>
        <w:rPr>
          <w:rFonts w:hint="eastAsia" w:hAnsi="宋体" w:cs="宋体"/>
          <w:color w:val="auto"/>
          <w:sz w:val="24"/>
          <w:szCs w:val="24"/>
          <w:highlight w:val="none"/>
          <w:lang w:bidi="ar"/>
        </w:rPr>
        <w:t>〔2017〕141</w:t>
      </w:r>
      <w:r>
        <w:rPr>
          <w:rFonts w:hint="eastAsia" w:hAnsi="宋体" w:cs="宋体"/>
          <w:color w:val="auto"/>
          <w:spacing w:val="6"/>
          <w:sz w:val="24"/>
          <w:szCs w:val="24"/>
          <w:highlight w:val="none"/>
          <w:lang w:bidi="ar"/>
        </w:rPr>
        <w:t>号）的规定，本单位为符合条件的残疾人福利性单位，且本单位参加</w:t>
      </w:r>
      <w:r>
        <w:rPr>
          <w:rFonts w:hint="eastAsia" w:hAnsi="宋体" w:cs="宋体"/>
          <w:color w:val="auto"/>
          <w:spacing w:val="6"/>
          <w:sz w:val="24"/>
          <w:szCs w:val="24"/>
          <w:highlight w:val="none"/>
          <w:u w:val="single"/>
          <w:lang w:bidi="ar"/>
        </w:rPr>
        <w:t xml:space="preserve">        </w:t>
      </w:r>
      <w:r>
        <w:rPr>
          <w:rFonts w:hint="eastAsia" w:hAnsi="宋体" w:cs="宋体"/>
          <w:color w:val="auto"/>
          <w:spacing w:val="6"/>
          <w:sz w:val="24"/>
          <w:szCs w:val="24"/>
          <w:highlight w:val="none"/>
          <w:lang w:bidi="ar"/>
        </w:rPr>
        <w:t>单位的</w:t>
      </w:r>
      <w:r>
        <w:rPr>
          <w:rFonts w:hint="eastAsia" w:hAnsi="宋体" w:cs="宋体"/>
          <w:color w:val="auto"/>
          <w:spacing w:val="6"/>
          <w:sz w:val="24"/>
          <w:szCs w:val="24"/>
          <w:highlight w:val="none"/>
          <w:u w:val="single"/>
          <w:lang w:bidi="ar"/>
        </w:rPr>
        <w:t xml:space="preserve">        </w:t>
      </w:r>
      <w:r>
        <w:rPr>
          <w:rFonts w:hint="eastAsia" w:hAnsi="宋体" w:cs="宋体"/>
          <w:color w:val="auto"/>
          <w:spacing w:val="6"/>
          <w:sz w:val="24"/>
          <w:szCs w:val="24"/>
          <w:highlight w:val="none"/>
          <w:lang w:bidi="ar"/>
        </w:rPr>
        <w:t>项目采购活动提供本单位制造的货物（由本单位承担工程/提供服务），或者提供其他残疾人福利性单位制造的货物（不包括使用非残疾人福利性单位注册商标的货物）。</w:t>
      </w:r>
    </w:p>
    <w:p w14:paraId="2A429907">
      <w:pPr>
        <w:spacing w:line="480" w:lineRule="auto"/>
        <w:ind w:firstLine="504" w:firstLineChars="200"/>
        <w:rPr>
          <w:rFonts w:hint="eastAsia" w:hAnsi="宋体" w:cs="宋体"/>
          <w:color w:val="auto"/>
          <w:spacing w:val="6"/>
          <w:sz w:val="24"/>
          <w:szCs w:val="24"/>
          <w:highlight w:val="none"/>
        </w:rPr>
      </w:pPr>
      <w:r>
        <w:rPr>
          <w:rFonts w:hint="eastAsia" w:hAnsi="宋体" w:cs="宋体"/>
          <w:color w:val="auto"/>
          <w:spacing w:val="6"/>
          <w:sz w:val="24"/>
          <w:szCs w:val="24"/>
          <w:highlight w:val="none"/>
          <w:lang w:bidi="ar"/>
        </w:rPr>
        <w:t>本单位对上述声明的真实性负责。如有虚假，将依法承担相应责任。</w:t>
      </w:r>
    </w:p>
    <w:p w14:paraId="361BC3FB">
      <w:pPr>
        <w:rPr>
          <w:rFonts w:hint="eastAsia"/>
          <w:color w:val="auto"/>
          <w:sz w:val="21"/>
          <w:szCs w:val="24"/>
          <w:highlight w:val="none"/>
        </w:rPr>
      </w:pPr>
    </w:p>
    <w:p w14:paraId="6924CEF9">
      <w:pPr>
        <w:rPr>
          <w:rFonts w:hint="eastAsia"/>
          <w:color w:val="auto"/>
          <w:sz w:val="21"/>
          <w:szCs w:val="24"/>
          <w:highlight w:val="none"/>
        </w:rPr>
      </w:pPr>
    </w:p>
    <w:p w14:paraId="3024B2D3">
      <w:pPr>
        <w:tabs>
          <w:tab w:val="left" w:pos="4860"/>
        </w:tabs>
        <w:spacing w:line="480" w:lineRule="auto"/>
        <w:ind w:left="3990" w:leftChars="1900"/>
        <w:rPr>
          <w:rFonts w:hint="eastAsia" w:hAnsi="宋体" w:cs="宋体"/>
          <w:color w:val="auto"/>
          <w:spacing w:val="6"/>
          <w:sz w:val="24"/>
          <w:szCs w:val="24"/>
          <w:highlight w:val="none"/>
        </w:rPr>
      </w:pPr>
      <w:r>
        <w:rPr>
          <w:rFonts w:hint="eastAsia" w:hAnsi="宋体" w:cs="宋体"/>
          <w:color w:val="auto"/>
          <w:spacing w:val="6"/>
          <w:sz w:val="24"/>
          <w:szCs w:val="24"/>
          <w:highlight w:val="none"/>
          <w:lang w:bidi="ar"/>
        </w:rPr>
        <w:t>单位名称（盖章）：</w:t>
      </w:r>
    </w:p>
    <w:p w14:paraId="1342605B">
      <w:pPr>
        <w:tabs>
          <w:tab w:val="left" w:pos="4860"/>
        </w:tabs>
        <w:spacing w:line="480" w:lineRule="auto"/>
        <w:ind w:left="3990" w:leftChars="1900"/>
        <w:rPr>
          <w:rFonts w:hint="eastAsia" w:hAnsi="宋体" w:cs="宋体"/>
          <w:color w:val="auto"/>
          <w:spacing w:val="6"/>
          <w:sz w:val="24"/>
          <w:szCs w:val="24"/>
          <w:highlight w:val="none"/>
        </w:rPr>
      </w:pPr>
      <w:r>
        <w:rPr>
          <w:rFonts w:hint="eastAsia" w:hAnsi="宋体" w:cs="宋体"/>
          <w:color w:val="auto"/>
          <w:spacing w:val="6"/>
          <w:sz w:val="24"/>
          <w:szCs w:val="24"/>
          <w:highlight w:val="none"/>
          <w:lang w:bidi="ar"/>
        </w:rPr>
        <w:t>日    期：</w:t>
      </w:r>
    </w:p>
    <w:p w14:paraId="4A71D21C">
      <w:pPr>
        <w:rPr>
          <w:rFonts w:hint="eastAsia"/>
          <w:color w:val="auto"/>
          <w:sz w:val="21"/>
          <w:szCs w:val="24"/>
          <w:highlight w:val="none"/>
        </w:rPr>
      </w:pPr>
    </w:p>
    <w:p w14:paraId="26C36E43">
      <w:pPr>
        <w:autoSpaceDE w:val="0"/>
        <w:autoSpaceDN w:val="0"/>
        <w:adjustRightInd w:val="0"/>
        <w:snapToGrid w:val="0"/>
        <w:spacing w:before="120" w:beforeLines="50" w:after="120" w:afterLines="50" w:line="480" w:lineRule="exact"/>
        <w:outlineLvl w:val="9"/>
        <w:rPr>
          <w:rFonts w:hint="eastAsia" w:cs="宋体"/>
          <w:b/>
          <w:color w:val="auto"/>
          <w:sz w:val="24"/>
          <w:szCs w:val="24"/>
          <w:highlight w:val="none"/>
          <w:u w:val="single"/>
        </w:rPr>
      </w:pPr>
    </w:p>
    <w:p w14:paraId="521F8FF7">
      <w:pPr>
        <w:autoSpaceDE w:val="0"/>
        <w:autoSpaceDN w:val="0"/>
        <w:adjustRightInd w:val="0"/>
        <w:snapToGrid w:val="0"/>
        <w:spacing w:before="120" w:beforeLines="50" w:after="120" w:afterLines="50" w:line="480" w:lineRule="exact"/>
        <w:outlineLvl w:val="9"/>
        <w:rPr>
          <w:rFonts w:hint="eastAsia" w:cs="宋体"/>
          <w:b/>
          <w:color w:val="auto"/>
          <w:sz w:val="24"/>
          <w:szCs w:val="24"/>
          <w:highlight w:val="none"/>
          <w:u w:val="single"/>
        </w:rPr>
      </w:pPr>
    </w:p>
    <w:p w14:paraId="237B8BF2">
      <w:pPr>
        <w:autoSpaceDE w:val="0"/>
        <w:autoSpaceDN w:val="0"/>
        <w:adjustRightInd w:val="0"/>
        <w:snapToGrid w:val="0"/>
        <w:spacing w:before="120" w:beforeLines="50" w:after="120" w:afterLines="50" w:line="480" w:lineRule="exact"/>
        <w:outlineLvl w:val="9"/>
        <w:rPr>
          <w:rFonts w:hint="eastAsia" w:cs="宋体"/>
          <w:b/>
          <w:color w:val="auto"/>
          <w:sz w:val="24"/>
          <w:szCs w:val="24"/>
          <w:highlight w:val="none"/>
          <w:u w:val="single"/>
        </w:rPr>
      </w:pPr>
    </w:p>
    <w:p w14:paraId="0725EAB2">
      <w:pPr>
        <w:autoSpaceDE w:val="0"/>
        <w:autoSpaceDN w:val="0"/>
        <w:adjustRightInd w:val="0"/>
        <w:snapToGrid w:val="0"/>
        <w:spacing w:before="120" w:beforeLines="50" w:after="120" w:afterLines="50" w:line="480" w:lineRule="exact"/>
        <w:outlineLvl w:val="9"/>
        <w:rPr>
          <w:rFonts w:hint="eastAsia" w:cs="宋体"/>
          <w:b/>
          <w:color w:val="auto"/>
          <w:sz w:val="24"/>
          <w:szCs w:val="24"/>
          <w:highlight w:val="none"/>
          <w:u w:val="single"/>
        </w:rPr>
      </w:pPr>
    </w:p>
    <w:p w14:paraId="28D1A547">
      <w:pPr>
        <w:autoSpaceDE w:val="0"/>
        <w:autoSpaceDN w:val="0"/>
        <w:adjustRightInd w:val="0"/>
        <w:snapToGrid w:val="0"/>
        <w:spacing w:before="120" w:beforeLines="50" w:after="120" w:afterLines="50" w:line="480" w:lineRule="exact"/>
        <w:outlineLvl w:val="9"/>
        <w:rPr>
          <w:rFonts w:hint="eastAsia" w:cs="宋体"/>
          <w:b/>
          <w:color w:val="auto"/>
          <w:sz w:val="24"/>
          <w:szCs w:val="24"/>
          <w:highlight w:val="none"/>
          <w:u w:val="single"/>
        </w:rPr>
      </w:pPr>
    </w:p>
    <w:p w14:paraId="379AFE7C">
      <w:pPr>
        <w:autoSpaceDE w:val="0"/>
        <w:autoSpaceDN w:val="0"/>
        <w:adjustRightInd w:val="0"/>
        <w:snapToGrid w:val="0"/>
        <w:spacing w:before="120" w:beforeLines="50" w:after="120" w:afterLines="50" w:line="480" w:lineRule="exact"/>
        <w:outlineLvl w:val="9"/>
        <w:rPr>
          <w:rFonts w:hint="eastAsia" w:cs="宋体"/>
          <w:b/>
          <w:color w:val="auto"/>
          <w:sz w:val="24"/>
          <w:szCs w:val="24"/>
          <w:highlight w:val="none"/>
          <w:u w:val="single"/>
        </w:rPr>
      </w:pPr>
    </w:p>
    <w:p w14:paraId="69009070">
      <w:pPr>
        <w:autoSpaceDE w:val="0"/>
        <w:autoSpaceDN w:val="0"/>
        <w:adjustRightInd w:val="0"/>
        <w:snapToGrid w:val="0"/>
        <w:spacing w:before="120" w:beforeLines="50" w:after="120" w:afterLines="50" w:line="480" w:lineRule="exact"/>
        <w:outlineLvl w:val="9"/>
        <w:rPr>
          <w:rFonts w:hint="eastAsia" w:cs="宋体"/>
          <w:b/>
          <w:color w:val="auto"/>
          <w:sz w:val="24"/>
          <w:szCs w:val="24"/>
          <w:highlight w:val="none"/>
          <w:u w:val="single"/>
        </w:rPr>
      </w:pPr>
    </w:p>
    <w:p w14:paraId="6536F091">
      <w:pPr>
        <w:autoSpaceDE w:val="0"/>
        <w:autoSpaceDN w:val="0"/>
        <w:adjustRightInd w:val="0"/>
        <w:snapToGrid w:val="0"/>
        <w:spacing w:before="120" w:beforeLines="50" w:after="120" w:afterLines="50" w:line="480" w:lineRule="exact"/>
        <w:outlineLvl w:val="9"/>
        <w:rPr>
          <w:rFonts w:hint="eastAsia" w:cs="宋体"/>
          <w:b/>
          <w:color w:val="auto"/>
          <w:sz w:val="24"/>
          <w:szCs w:val="24"/>
          <w:highlight w:val="none"/>
          <w:u w:val="single"/>
        </w:rPr>
      </w:pPr>
    </w:p>
    <w:p w14:paraId="7E099E92">
      <w:pPr>
        <w:autoSpaceDE w:val="0"/>
        <w:autoSpaceDN w:val="0"/>
        <w:adjustRightInd w:val="0"/>
        <w:snapToGrid w:val="0"/>
        <w:spacing w:before="120" w:beforeLines="50" w:after="120" w:afterLines="50" w:line="480" w:lineRule="exact"/>
        <w:outlineLvl w:val="9"/>
        <w:rPr>
          <w:rFonts w:hint="eastAsia" w:cs="宋体"/>
          <w:b/>
          <w:color w:val="auto"/>
          <w:sz w:val="24"/>
          <w:szCs w:val="24"/>
          <w:highlight w:val="none"/>
          <w:u w:val="single"/>
        </w:rPr>
      </w:pPr>
    </w:p>
    <w:p w14:paraId="5D9AB552">
      <w:pPr>
        <w:widowControl/>
        <w:adjustRightInd w:val="0"/>
        <w:snapToGrid w:val="0"/>
        <w:spacing w:before="120" w:beforeLines="50" w:after="120" w:afterLines="50" w:line="600" w:lineRule="exact"/>
        <w:jc w:val="center"/>
        <w:rPr>
          <w:rFonts w:hint="eastAsia" w:hAnsi="宋体" w:cs="宋体"/>
          <w:b/>
          <w:color w:val="auto"/>
          <w:kern w:val="0"/>
          <w:sz w:val="32"/>
          <w:szCs w:val="32"/>
          <w:highlight w:val="none"/>
          <w:lang w:bidi="ar"/>
        </w:rPr>
      </w:pPr>
      <w:r>
        <w:rPr>
          <w:rFonts w:hint="eastAsia" w:hAnsi="宋体" w:cs="宋体"/>
          <w:b/>
          <w:color w:val="auto"/>
          <w:kern w:val="0"/>
          <w:sz w:val="32"/>
          <w:szCs w:val="32"/>
          <w:highlight w:val="none"/>
          <w:lang w:eastAsia="zh-CN" w:bidi="ar"/>
        </w:rPr>
        <w:t>（</w:t>
      </w:r>
      <w:r>
        <w:rPr>
          <w:rFonts w:hint="eastAsia" w:hAnsi="宋体" w:cs="宋体"/>
          <w:b/>
          <w:color w:val="auto"/>
          <w:kern w:val="0"/>
          <w:sz w:val="32"/>
          <w:szCs w:val="32"/>
          <w:highlight w:val="none"/>
          <w:lang w:val="en-US" w:eastAsia="zh-CN" w:bidi="ar"/>
        </w:rPr>
        <w:t>三</w:t>
      </w:r>
      <w:r>
        <w:rPr>
          <w:rFonts w:hint="eastAsia" w:hAnsi="宋体" w:cs="宋体"/>
          <w:b/>
          <w:color w:val="auto"/>
          <w:kern w:val="0"/>
          <w:sz w:val="32"/>
          <w:szCs w:val="32"/>
          <w:highlight w:val="none"/>
          <w:lang w:eastAsia="zh-CN" w:bidi="ar"/>
        </w:rPr>
        <w:t>）</w:t>
      </w:r>
      <w:r>
        <w:rPr>
          <w:rFonts w:hint="eastAsia" w:hAnsi="宋体" w:cs="宋体"/>
          <w:b/>
          <w:color w:val="auto"/>
          <w:kern w:val="0"/>
          <w:sz w:val="32"/>
          <w:szCs w:val="32"/>
          <w:highlight w:val="none"/>
          <w:lang w:bidi="ar"/>
        </w:rPr>
        <w:t>监狱企业声明函</w:t>
      </w:r>
    </w:p>
    <w:p w14:paraId="61F9129F">
      <w:pPr>
        <w:widowControl/>
        <w:spacing w:line="480" w:lineRule="auto"/>
        <w:jc w:val="center"/>
        <w:rPr>
          <w:rFonts w:hint="eastAsia" w:ascii="仿宋_GB2312" w:hAnsi="Calibri" w:eastAsia="仿宋_GB2312" w:cs="仿宋_GB2312"/>
          <w:b/>
          <w:color w:val="auto"/>
          <w:spacing w:val="6"/>
          <w:sz w:val="30"/>
          <w:szCs w:val="30"/>
          <w:highlight w:val="none"/>
        </w:rPr>
      </w:pPr>
      <w:r>
        <w:rPr>
          <w:rFonts w:hint="eastAsia" w:hAnsi="宋体" w:cs="宋体"/>
          <w:color w:val="auto"/>
          <w:sz w:val="24"/>
          <w:szCs w:val="24"/>
          <w:highlight w:val="none"/>
          <w:u w:val="single"/>
          <w:lang w:bidi="ar"/>
        </w:rPr>
        <w:t>【不属于监狱企业的无需填写】</w:t>
      </w:r>
    </w:p>
    <w:p w14:paraId="34A1CAB5">
      <w:pPr>
        <w:rPr>
          <w:rFonts w:hint="eastAsia"/>
          <w:color w:val="auto"/>
          <w:sz w:val="21"/>
          <w:szCs w:val="24"/>
          <w:highlight w:val="none"/>
        </w:rPr>
      </w:pPr>
    </w:p>
    <w:p w14:paraId="0E055299">
      <w:pPr>
        <w:widowControl/>
        <w:snapToGrid w:val="0"/>
        <w:spacing w:line="480" w:lineRule="auto"/>
        <w:ind w:firstLine="480" w:firstLineChars="200"/>
        <w:rPr>
          <w:rFonts w:hint="eastAsia" w:hAnsi="宋体" w:cs="宋体"/>
          <w:color w:val="auto"/>
          <w:kern w:val="0"/>
          <w:sz w:val="24"/>
          <w:szCs w:val="24"/>
          <w:highlight w:val="none"/>
        </w:rPr>
      </w:pPr>
      <w:r>
        <w:rPr>
          <w:rFonts w:hint="eastAsia" w:hAnsi="宋体" w:cs="宋体"/>
          <w:color w:val="auto"/>
          <w:kern w:val="0"/>
          <w:sz w:val="24"/>
          <w:szCs w:val="24"/>
          <w:highlight w:val="none"/>
          <w:lang w:bidi="ar"/>
        </w:rPr>
        <w:t>本公司郑重声明，根据《关于政府采购支持监狱企业发展有关问题的通知》（财库〔2014〕68号）的规定，本公司为</w:t>
      </w:r>
      <w:r>
        <w:rPr>
          <w:rFonts w:hint="eastAsia" w:hAnsi="宋体" w:cs="宋体"/>
          <w:color w:val="auto"/>
          <w:kern w:val="0"/>
          <w:sz w:val="24"/>
          <w:szCs w:val="24"/>
          <w:highlight w:val="none"/>
          <w:u w:val="single"/>
          <w:lang w:bidi="ar"/>
        </w:rPr>
        <w:t>监狱企业</w:t>
      </w:r>
      <w:r>
        <w:rPr>
          <w:rFonts w:hint="eastAsia" w:hAnsi="宋体" w:cs="宋体"/>
          <w:color w:val="auto"/>
          <w:kern w:val="0"/>
          <w:sz w:val="24"/>
          <w:szCs w:val="24"/>
          <w:highlight w:val="none"/>
          <w:lang w:bidi="ar"/>
        </w:rPr>
        <w:t>。</w:t>
      </w:r>
    </w:p>
    <w:p w14:paraId="18CFBE60">
      <w:pPr>
        <w:widowControl/>
        <w:snapToGrid w:val="0"/>
        <w:spacing w:line="480" w:lineRule="auto"/>
        <w:ind w:firstLine="480" w:firstLineChars="200"/>
        <w:rPr>
          <w:rFonts w:hint="eastAsia" w:hAnsi="宋体" w:cs="宋体"/>
          <w:color w:val="auto"/>
          <w:kern w:val="0"/>
          <w:sz w:val="24"/>
          <w:szCs w:val="24"/>
          <w:highlight w:val="none"/>
        </w:rPr>
      </w:pPr>
      <w:r>
        <w:rPr>
          <w:rFonts w:hint="eastAsia" w:hAnsi="宋体" w:cs="宋体"/>
          <w:color w:val="auto"/>
          <w:kern w:val="0"/>
          <w:sz w:val="24"/>
          <w:szCs w:val="24"/>
          <w:highlight w:val="none"/>
          <w:lang w:bidi="ar"/>
        </w:rPr>
        <w:t>根据上述标准，我公司属于监狱企业的理由为：</w:t>
      </w:r>
      <w:r>
        <w:rPr>
          <w:rFonts w:hint="eastAsia" w:hAnsi="宋体" w:cs="宋体"/>
          <w:color w:val="auto"/>
          <w:kern w:val="0"/>
          <w:sz w:val="24"/>
          <w:szCs w:val="24"/>
          <w:highlight w:val="none"/>
          <w:u w:val="single"/>
          <w:lang w:bidi="ar"/>
        </w:rPr>
        <w:t xml:space="preserve">         </w:t>
      </w:r>
      <w:r>
        <w:rPr>
          <w:rFonts w:hint="eastAsia" w:hAnsi="宋体" w:cs="宋体"/>
          <w:color w:val="auto"/>
          <w:kern w:val="0"/>
          <w:sz w:val="24"/>
          <w:szCs w:val="24"/>
          <w:highlight w:val="none"/>
          <w:lang w:bidi="ar"/>
        </w:rPr>
        <w:t>。</w:t>
      </w:r>
    </w:p>
    <w:p w14:paraId="438AECBE">
      <w:pPr>
        <w:widowControl/>
        <w:snapToGrid w:val="0"/>
        <w:spacing w:line="480" w:lineRule="auto"/>
        <w:ind w:firstLine="480" w:firstLineChars="200"/>
        <w:rPr>
          <w:rFonts w:hint="eastAsia" w:hAnsi="宋体" w:cs="宋体"/>
          <w:color w:val="auto"/>
          <w:kern w:val="0"/>
          <w:sz w:val="24"/>
          <w:szCs w:val="24"/>
          <w:highlight w:val="none"/>
        </w:rPr>
      </w:pPr>
      <w:r>
        <w:rPr>
          <w:rFonts w:hint="eastAsia" w:hAnsi="宋体" w:cs="宋体"/>
          <w:color w:val="auto"/>
          <w:kern w:val="0"/>
          <w:sz w:val="24"/>
          <w:szCs w:val="24"/>
          <w:highlight w:val="none"/>
          <w:lang w:bidi="ar"/>
        </w:rPr>
        <w:t>本公司为参加（</w:t>
      </w:r>
      <w:r>
        <w:rPr>
          <w:rFonts w:hint="eastAsia" w:hAnsi="宋体" w:cs="宋体"/>
          <w:color w:val="auto"/>
          <w:kern w:val="0"/>
          <w:sz w:val="24"/>
          <w:szCs w:val="24"/>
          <w:highlight w:val="none"/>
          <w:u w:val="single"/>
          <w:lang w:bidi="ar"/>
        </w:rPr>
        <w:t xml:space="preserve">    项目名称    </w:t>
      </w:r>
      <w:r>
        <w:rPr>
          <w:rFonts w:hint="eastAsia" w:hAnsi="宋体" w:cs="宋体"/>
          <w:color w:val="auto"/>
          <w:kern w:val="0"/>
          <w:sz w:val="24"/>
          <w:szCs w:val="24"/>
          <w:highlight w:val="none"/>
          <w:lang w:bidi="ar"/>
        </w:rPr>
        <w:t>）（项目编号：</w:t>
      </w:r>
      <w:r>
        <w:rPr>
          <w:rFonts w:hint="eastAsia" w:hAnsi="宋体" w:cs="宋体"/>
          <w:color w:val="auto"/>
          <w:kern w:val="0"/>
          <w:sz w:val="24"/>
          <w:szCs w:val="24"/>
          <w:highlight w:val="none"/>
          <w:u w:val="single"/>
          <w:lang w:bidi="ar"/>
        </w:rPr>
        <w:t xml:space="preserve">      </w:t>
      </w:r>
      <w:r>
        <w:rPr>
          <w:rFonts w:hint="eastAsia" w:hAnsi="宋体" w:cs="宋体"/>
          <w:color w:val="auto"/>
          <w:kern w:val="0"/>
          <w:sz w:val="24"/>
          <w:szCs w:val="24"/>
          <w:highlight w:val="none"/>
          <w:lang w:bidi="ar"/>
        </w:rPr>
        <w:t>）采购活动提供本企业制造的货物。</w:t>
      </w:r>
    </w:p>
    <w:p w14:paraId="1B80F460">
      <w:pPr>
        <w:widowControl/>
        <w:snapToGrid w:val="0"/>
        <w:spacing w:line="480" w:lineRule="auto"/>
        <w:ind w:firstLine="480" w:firstLineChars="200"/>
        <w:rPr>
          <w:rFonts w:hint="eastAsia" w:hAnsi="宋体" w:cs="宋体"/>
          <w:color w:val="auto"/>
          <w:kern w:val="0"/>
          <w:sz w:val="24"/>
          <w:szCs w:val="24"/>
          <w:highlight w:val="none"/>
        </w:rPr>
      </w:pPr>
      <w:r>
        <w:rPr>
          <w:rFonts w:hint="eastAsia" w:hAnsi="宋体" w:cs="宋体"/>
          <w:color w:val="auto"/>
          <w:kern w:val="0"/>
          <w:sz w:val="24"/>
          <w:szCs w:val="24"/>
          <w:highlight w:val="none"/>
          <w:lang w:bidi="ar"/>
        </w:rPr>
        <w:t>本公司对上述声明的真实性负责。如有虚假，将依法承担相应责任。</w:t>
      </w:r>
    </w:p>
    <w:p w14:paraId="6DAF2CC7">
      <w:pPr>
        <w:rPr>
          <w:rFonts w:hint="eastAsia"/>
          <w:color w:val="auto"/>
          <w:sz w:val="21"/>
          <w:szCs w:val="24"/>
          <w:highlight w:val="none"/>
        </w:rPr>
      </w:pPr>
    </w:p>
    <w:p w14:paraId="0C85589E">
      <w:pPr>
        <w:widowControl/>
        <w:snapToGrid w:val="0"/>
        <w:spacing w:line="480" w:lineRule="auto"/>
        <w:ind w:left="3570" w:leftChars="1700"/>
        <w:rPr>
          <w:rFonts w:hint="eastAsia" w:hAnsi="宋体" w:cs="宋体"/>
          <w:color w:val="auto"/>
          <w:kern w:val="0"/>
          <w:sz w:val="24"/>
          <w:szCs w:val="24"/>
          <w:highlight w:val="none"/>
        </w:rPr>
      </w:pPr>
      <w:r>
        <w:rPr>
          <w:rFonts w:hint="eastAsia" w:hAnsi="宋体" w:cs="宋体"/>
          <w:color w:val="auto"/>
          <w:kern w:val="0"/>
          <w:sz w:val="24"/>
          <w:szCs w:val="24"/>
          <w:highlight w:val="none"/>
          <w:lang w:eastAsia="zh-CN" w:bidi="ar"/>
        </w:rPr>
        <w:t>投标人</w:t>
      </w:r>
      <w:r>
        <w:rPr>
          <w:rFonts w:hint="eastAsia" w:hAnsi="宋体" w:cs="宋体"/>
          <w:color w:val="auto"/>
          <w:kern w:val="0"/>
          <w:sz w:val="24"/>
          <w:szCs w:val="24"/>
          <w:highlight w:val="none"/>
          <w:lang w:bidi="ar"/>
        </w:rPr>
        <w:t>名称（盖章）：</w:t>
      </w:r>
    </w:p>
    <w:p w14:paraId="2B29B020">
      <w:pPr>
        <w:widowControl/>
        <w:snapToGrid w:val="0"/>
        <w:spacing w:line="480" w:lineRule="auto"/>
        <w:ind w:left="3570" w:leftChars="1700"/>
        <w:rPr>
          <w:rFonts w:hint="eastAsia" w:hAnsi="宋体" w:cs="宋体"/>
          <w:color w:val="auto"/>
          <w:kern w:val="0"/>
          <w:sz w:val="24"/>
          <w:szCs w:val="24"/>
          <w:highlight w:val="none"/>
        </w:rPr>
      </w:pPr>
      <w:r>
        <w:rPr>
          <w:rFonts w:hint="eastAsia" w:hAnsi="宋体" w:cs="宋体"/>
          <w:color w:val="auto"/>
          <w:kern w:val="0"/>
          <w:sz w:val="24"/>
          <w:szCs w:val="24"/>
          <w:highlight w:val="none"/>
          <w:lang w:bidi="ar"/>
        </w:rPr>
        <w:t>日期：    年  月  日</w:t>
      </w:r>
    </w:p>
    <w:p w14:paraId="5D437684">
      <w:pPr>
        <w:spacing w:line="360" w:lineRule="auto"/>
        <w:jc w:val="center"/>
        <w:rPr>
          <w:rFonts w:hint="eastAsia" w:ascii="宋体" w:hAnsi="宋体" w:eastAsia="宋体" w:cs="宋体"/>
          <w:b/>
          <w:color w:val="auto"/>
          <w:sz w:val="28"/>
          <w:szCs w:val="28"/>
          <w:highlight w:val="none"/>
        </w:rPr>
      </w:pPr>
    </w:p>
    <w:p w14:paraId="716D8B0B">
      <w:pPr>
        <w:spacing w:line="360" w:lineRule="auto"/>
        <w:jc w:val="center"/>
        <w:rPr>
          <w:rFonts w:hint="eastAsia" w:ascii="宋体" w:hAnsi="宋体" w:eastAsia="宋体" w:cs="宋体"/>
          <w:b/>
          <w:color w:val="auto"/>
          <w:sz w:val="28"/>
          <w:szCs w:val="28"/>
          <w:highlight w:val="none"/>
        </w:rPr>
      </w:pPr>
    </w:p>
    <w:p w14:paraId="00819F15">
      <w:pPr>
        <w:spacing w:line="360" w:lineRule="auto"/>
        <w:jc w:val="center"/>
        <w:rPr>
          <w:rFonts w:hint="eastAsia" w:ascii="宋体" w:hAnsi="宋体" w:eastAsia="宋体" w:cs="宋体"/>
          <w:b/>
          <w:color w:val="auto"/>
          <w:sz w:val="28"/>
          <w:szCs w:val="28"/>
          <w:highlight w:val="none"/>
        </w:rPr>
      </w:pPr>
    </w:p>
    <w:p w14:paraId="56006046">
      <w:pPr>
        <w:spacing w:line="360" w:lineRule="auto"/>
        <w:jc w:val="center"/>
        <w:rPr>
          <w:rFonts w:hint="eastAsia" w:ascii="宋体" w:hAnsi="宋体" w:eastAsia="宋体" w:cs="宋体"/>
          <w:b/>
          <w:color w:val="auto"/>
          <w:sz w:val="28"/>
          <w:szCs w:val="28"/>
          <w:highlight w:val="none"/>
        </w:rPr>
      </w:pPr>
    </w:p>
    <w:p w14:paraId="72E2BA88">
      <w:pPr>
        <w:spacing w:line="360" w:lineRule="auto"/>
        <w:jc w:val="center"/>
        <w:rPr>
          <w:rFonts w:hint="eastAsia" w:ascii="宋体" w:hAnsi="宋体" w:eastAsia="宋体" w:cs="宋体"/>
          <w:b/>
          <w:color w:val="auto"/>
          <w:sz w:val="28"/>
          <w:szCs w:val="28"/>
          <w:highlight w:val="none"/>
        </w:rPr>
      </w:pPr>
    </w:p>
    <w:p w14:paraId="29A0DBCD">
      <w:pPr>
        <w:spacing w:line="360" w:lineRule="auto"/>
        <w:jc w:val="center"/>
        <w:rPr>
          <w:rFonts w:hint="eastAsia" w:ascii="宋体" w:hAnsi="宋体" w:eastAsia="宋体" w:cs="宋体"/>
          <w:b/>
          <w:color w:val="auto"/>
          <w:sz w:val="28"/>
          <w:szCs w:val="28"/>
          <w:highlight w:val="none"/>
        </w:rPr>
      </w:pPr>
    </w:p>
    <w:p w14:paraId="176A8426">
      <w:pPr>
        <w:spacing w:line="360" w:lineRule="auto"/>
        <w:jc w:val="center"/>
        <w:rPr>
          <w:rFonts w:hint="eastAsia" w:ascii="宋体" w:hAnsi="宋体" w:eastAsia="宋体" w:cs="宋体"/>
          <w:b/>
          <w:color w:val="auto"/>
          <w:sz w:val="28"/>
          <w:szCs w:val="28"/>
          <w:highlight w:val="none"/>
        </w:rPr>
      </w:pPr>
    </w:p>
    <w:p w14:paraId="2A117F01">
      <w:pPr>
        <w:spacing w:line="360" w:lineRule="auto"/>
        <w:jc w:val="center"/>
        <w:rPr>
          <w:rFonts w:hint="eastAsia" w:ascii="宋体" w:hAnsi="宋体" w:eastAsia="宋体" w:cs="宋体"/>
          <w:b/>
          <w:color w:val="auto"/>
          <w:sz w:val="28"/>
          <w:szCs w:val="28"/>
          <w:highlight w:val="none"/>
        </w:rPr>
      </w:pPr>
    </w:p>
    <w:p w14:paraId="721E39FF">
      <w:pPr>
        <w:spacing w:line="360" w:lineRule="auto"/>
        <w:jc w:val="center"/>
        <w:rPr>
          <w:rFonts w:hint="eastAsia" w:ascii="宋体" w:hAnsi="宋体" w:eastAsia="宋体" w:cs="宋体"/>
          <w:b/>
          <w:color w:val="auto"/>
          <w:sz w:val="28"/>
          <w:szCs w:val="28"/>
          <w:highlight w:val="none"/>
        </w:rPr>
      </w:pPr>
    </w:p>
    <w:bookmarkEnd w:id="164"/>
    <w:bookmarkEnd w:id="165"/>
    <w:p w14:paraId="115BBF66">
      <w:pPr>
        <w:spacing w:line="360" w:lineRule="auto"/>
        <w:jc w:val="center"/>
        <w:rPr>
          <w:rFonts w:hint="eastAsia" w:ascii="宋体" w:hAnsi="宋体" w:eastAsia="宋体" w:cs="宋体"/>
          <w:b/>
          <w:color w:val="auto"/>
          <w:sz w:val="28"/>
          <w:szCs w:val="28"/>
          <w:highlight w:val="none"/>
        </w:rPr>
      </w:pPr>
    </w:p>
    <w:p w14:paraId="5A087EAA">
      <w:pPr>
        <w:tabs>
          <w:tab w:val="left" w:pos="479"/>
        </w:tabs>
        <w:bidi w:val="0"/>
        <w:jc w:val="left"/>
        <w:rPr>
          <w:rFonts w:hint="eastAsia"/>
          <w:color w:val="auto"/>
          <w:highlight w:val="none"/>
          <w:lang w:val="en-US" w:eastAsia="zh-CN"/>
        </w:rPr>
      </w:pPr>
    </w:p>
    <w:p w14:paraId="23EA3F1F">
      <w:pPr>
        <w:tabs>
          <w:tab w:val="left" w:pos="479"/>
        </w:tabs>
        <w:bidi w:val="0"/>
        <w:jc w:val="left"/>
        <w:rPr>
          <w:rFonts w:hint="eastAsia"/>
          <w:color w:val="auto"/>
          <w:highlight w:val="none"/>
          <w:lang w:val="en-US" w:eastAsia="zh-CN"/>
        </w:rPr>
      </w:pPr>
    </w:p>
    <w:p w14:paraId="3B2A13C5">
      <w:pPr>
        <w:tabs>
          <w:tab w:val="left" w:pos="479"/>
        </w:tabs>
        <w:bidi w:val="0"/>
        <w:jc w:val="left"/>
        <w:rPr>
          <w:rFonts w:hint="eastAsia"/>
          <w:color w:val="auto"/>
          <w:highlight w:val="none"/>
          <w:lang w:val="en-US" w:eastAsia="zh-CN"/>
        </w:rPr>
      </w:pPr>
    </w:p>
    <w:p w14:paraId="47B4E473">
      <w:pPr>
        <w:widowControl/>
        <w:adjustRightInd w:val="0"/>
        <w:snapToGrid w:val="0"/>
        <w:spacing w:before="120" w:beforeLines="50" w:after="120" w:afterLines="50" w:line="600" w:lineRule="exact"/>
        <w:jc w:val="center"/>
        <w:rPr>
          <w:rFonts w:hint="eastAsia" w:hAnsi="宋体" w:cs="宋体"/>
          <w:b/>
          <w:color w:val="auto"/>
          <w:kern w:val="0"/>
          <w:sz w:val="32"/>
          <w:szCs w:val="32"/>
          <w:highlight w:val="none"/>
          <w:lang w:eastAsia="zh-CN" w:bidi="ar"/>
        </w:rPr>
      </w:pPr>
      <w:r>
        <w:rPr>
          <w:rFonts w:hint="eastAsia" w:hAnsi="宋体" w:cs="宋体"/>
          <w:b/>
          <w:color w:val="auto"/>
          <w:kern w:val="0"/>
          <w:sz w:val="32"/>
          <w:szCs w:val="32"/>
          <w:highlight w:val="none"/>
          <w:lang w:eastAsia="zh-CN" w:bidi="ar"/>
        </w:rPr>
        <w:t>（</w:t>
      </w:r>
      <w:r>
        <w:rPr>
          <w:rFonts w:hint="eastAsia" w:hAnsi="宋体" w:cs="宋体"/>
          <w:b/>
          <w:color w:val="auto"/>
          <w:kern w:val="0"/>
          <w:sz w:val="32"/>
          <w:szCs w:val="32"/>
          <w:highlight w:val="none"/>
          <w:lang w:val="en-US" w:eastAsia="zh-CN" w:bidi="ar"/>
        </w:rPr>
        <w:t>四）</w:t>
      </w:r>
      <w:r>
        <w:rPr>
          <w:rFonts w:hint="eastAsia" w:hAnsi="宋体" w:cs="宋体"/>
          <w:b/>
          <w:color w:val="auto"/>
          <w:kern w:val="0"/>
          <w:sz w:val="32"/>
          <w:szCs w:val="32"/>
          <w:highlight w:val="none"/>
          <w:lang w:eastAsia="zh-CN" w:bidi="ar"/>
        </w:rPr>
        <w:t>关于符合本国产品标准的声明函</w:t>
      </w:r>
    </w:p>
    <w:p w14:paraId="75247DC2">
      <w:pPr>
        <w:bidi w:val="0"/>
        <w:rPr>
          <w:rFonts w:hint="eastAsia"/>
          <w:color w:val="auto"/>
          <w:highlight w:val="none"/>
        </w:rPr>
      </w:pPr>
      <w:r>
        <w:rPr>
          <w:rFonts w:hint="eastAsia"/>
          <w:color w:val="auto"/>
          <w:highlight w:val="none"/>
        </w:rPr>
        <w:t>本公司（单位）郑重声明，根据《国务院办公厅关于在政府采购中实施本国产品标准及相关政策的通知》（国办发〔2025〕34号）的规定，本公司（单位）提供的以下产品属于本国产品。具体情况如下：</w:t>
      </w:r>
    </w:p>
    <w:p w14:paraId="7E45D30E">
      <w:pPr>
        <w:bidi w:val="0"/>
        <w:rPr>
          <w:rFonts w:hint="eastAsia"/>
          <w:color w:val="auto"/>
          <w:highlight w:val="none"/>
        </w:rPr>
      </w:pPr>
      <w:r>
        <w:rPr>
          <w:rFonts w:hint="eastAsia"/>
          <w:color w:val="auto"/>
          <w:highlight w:val="none"/>
        </w:rPr>
        <w:t>1.（产品名称1）1，生产厂为（厂名）2，厂址为（生产厂址）。（产品名称1）的中国境内生产的组件成本占比≥（规定比例）3。（产品名称1）的（关键组件）4在中国境内生产。（产品名称1）的（关键工序）5在中国境内完成。</w:t>
      </w:r>
    </w:p>
    <w:p w14:paraId="5BFBE017">
      <w:pPr>
        <w:bidi w:val="0"/>
        <w:rPr>
          <w:rFonts w:hint="eastAsia"/>
          <w:color w:val="auto"/>
          <w:highlight w:val="none"/>
        </w:rPr>
      </w:pPr>
      <w:r>
        <w:rPr>
          <w:rFonts w:hint="eastAsia"/>
          <w:color w:val="auto"/>
          <w:highlight w:val="none"/>
        </w:rPr>
        <w:t>2.（产品名称2），生产厂为（厂名），厂址为（生产厂址）。（产品名称2）的中国境内生产的组件成本占比≥（规定比例）。（产品名称2）的（关键组件）在中国境内生产。（产品名称2）的（关键工序）在中国境内完成。</w:t>
      </w:r>
    </w:p>
    <w:p w14:paraId="7F8F0E11">
      <w:pPr>
        <w:bidi w:val="0"/>
        <w:rPr>
          <w:rFonts w:hint="eastAsia"/>
          <w:color w:val="auto"/>
          <w:highlight w:val="none"/>
        </w:rPr>
      </w:pPr>
      <w:r>
        <w:rPr>
          <w:rFonts w:hint="eastAsia"/>
          <w:color w:val="auto"/>
          <w:highlight w:val="none"/>
        </w:rPr>
        <w:t>……</w:t>
      </w:r>
    </w:p>
    <w:p w14:paraId="1EE7BFD1">
      <w:pPr>
        <w:bidi w:val="0"/>
        <w:rPr>
          <w:rFonts w:hint="eastAsia"/>
          <w:color w:val="auto"/>
          <w:highlight w:val="none"/>
        </w:rPr>
      </w:pPr>
      <w:r>
        <w:rPr>
          <w:rFonts w:hint="eastAsia"/>
          <w:color w:val="auto"/>
          <w:highlight w:val="none"/>
        </w:rPr>
        <w:t>本公司（单位）对上述声明内容的真实性负责。如有虚假，愿承担相应法律责任。</w:t>
      </w:r>
    </w:p>
    <w:p w14:paraId="69D7D095">
      <w:pPr>
        <w:bidi w:val="0"/>
        <w:rPr>
          <w:rFonts w:hint="eastAsia"/>
          <w:color w:val="auto"/>
          <w:highlight w:val="none"/>
        </w:rPr>
      </w:pPr>
      <w:r>
        <w:rPr>
          <w:rFonts w:hint="eastAsia"/>
          <w:color w:val="auto"/>
          <w:highlight w:val="none"/>
        </w:rPr>
        <w:t> </w:t>
      </w:r>
    </w:p>
    <w:p w14:paraId="3AB7B2A5">
      <w:pPr>
        <w:bidi w:val="0"/>
        <w:rPr>
          <w:rFonts w:hint="eastAsia"/>
          <w:color w:val="auto"/>
          <w:highlight w:val="none"/>
        </w:rPr>
      </w:pPr>
      <w:r>
        <w:rPr>
          <w:rFonts w:hint="eastAsia"/>
          <w:color w:val="auto"/>
          <w:highlight w:val="none"/>
        </w:rPr>
        <w:t>公司（单位）名称（盖章）：　        </w:t>
      </w:r>
    </w:p>
    <w:p w14:paraId="7D999FFC">
      <w:pPr>
        <w:bidi w:val="0"/>
        <w:rPr>
          <w:rFonts w:hint="eastAsia"/>
          <w:color w:val="auto"/>
          <w:highlight w:val="none"/>
        </w:rPr>
      </w:pPr>
      <w:r>
        <w:rPr>
          <w:rFonts w:hint="eastAsia"/>
          <w:color w:val="auto"/>
          <w:highlight w:val="none"/>
        </w:rPr>
        <w:t>日期：　     年　  月　  日         </w:t>
      </w:r>
    </w:p>
    <w:p w14:paraId="5E0E3A29">
      <w:pPr>
        <w:bidi w:val="0"/>
        <w:rPr>
          <w:rFonts w:hint="eastAsia"/>
          <w:color w:val="auto"/>
          <w:highlight w:val="none"/>
        </w:rPr>
      </w:pPr>
      <w:r>
        <w:rPr>
          <w:rFonts w:hint="eastAsia"/>
          <w:color w:val="auto"/>
          <w:highlight w:val="none"/>
        </w:rPr>
        <w:t>__________________</w:t>
      </w:r>
    </w:p>
    <w:p w14:paraId="6F616891">
      <w:pPr>
        <w:bidi w:val="0"/>
        <w:rPr>
          <w:rFonts w:hint="eastAsia"/>
          <w:color w:val="auto"/>
          <w:highlight w:val="none"/>
        </w:rPr>
      </w:pPr>
      <w:r>
        <w:rPr>
          <w:rFonts w:hint="eastAsia"/>
          <w:color w:val="auto"/>
          <w:highlight w:val="none"/>
        </w:rPr>
        <w:t>1.产品如有型号，请在“产品名称”栏一并填写。</w:t>
      </w:r>
    </w:p>
    <w:p w14:paraId="6041E5A1">
      <w:pPr>
        <w:bidi w:val="0"/>
        <w:rPr>
          <w:rFonts w:hint="eastAsia"/>
          <w:color w:val="auto"/>
          <w:highlight w:val="none"/>
        </w:rPr>
      </w:pPr>
      <w:r>
        <w:rPr>
          <w:rFonts w:hint="eastAsia"/>
          <w:color w:val="auto"/>
          <w:highlight w:val="none"/>
        </w:rPr>
        <w:t>2.生产厂名与厂址应与生产厂营业执照载明的相关信息保持一致。</w:t>
      </w:r>
    </w:p>
    <w:p w14:paraId="2A8C85A7">
      <w:pPr>
        <w:bidi w:val="0"/>
        <w:rPr>
          <w:rFonts w:hint="eastAsia"/>
          <w:color w:val="auto"/>
          <w:highlight w:val="none"/>
        </w:rPr>
      </w:pPr>
      <w:r>
        <w:rPr>
          <w:rFonts w:hint="eastAsia"/>
          <w:color w:val="auto"/>
          <w:highlight w:val="none"/>
        </w:rPr>
        <w:t>3.该产品的中国境内生产的组件成本占比相关要求实施前，“规定比例”栏可不填，下同。</w:t>
      </w:r>
    </w:p>
    <w:p w14:paraId="094D57BD">
      <w:pPr>
        <w:bidi w:val="0"/>
        <w:rPr>
          <w:rFonts w:hint="eastAsia"/>
          <w:color w:val="auto"/>
          <w:highlight w:val="none"/>
        </w:rPr>
      </w:pPr>
      <w:r>
        <w:rPr>
          <w:rFonts w:hint="eastAsia"/>
          <w:color w:val="auto"/>
          <w:highlight w:val="none"/>
        </w:rPr>
        <w:t>4.该产品的关键组件要求实施前，“关键组件”栏可不填，下同。</w:t>
      </w:r>
    </w:p>
    <w:p w14:paraId="4A5C579A">
      <w:pPr>
        <w:bidi w:val="0"/>
        <w:rPr>
          <w:rFonts w:hint="eastAsia"/>
          <w:color w:val="auto"/>
          <w:highlight w:val="none"/>
        </w:rPr>
      </w:pPr>
      <w:r>
        <w:rPr>
          <w:rFonts w:hint="eastAsia"/>
          <w:color w:val="auto"/>
          <w:highlight w:val="none"/>
        </w:rPr>
        <w:t>5.该产品的关键工序要求实施前，“关键工序”栏可不填，下同。</w:t>
      </w:r>
    </w:p>
    <w:p w14:paraId="02E0B9B4">
      <w:pPr>
        <w:tabs>
          <w:tab w:val="left" w:pos="479"/>
        </w:tabs>
        <w:bidi w:val="0"/>
        <w:jc w:val="left"/>
        <w:rPr>
          <w:rFonts w:hint="eastAsia"/>
          <w:color w:val="auto"/>
          <w:highlight w:val="none"/>
          <w:lang w:val="en-US" w:eastAsia="zh-CN"/>
        </w:rPr>
      </w:pPr>
    </w:p>
    <w:sectPr>
      <w:pgSz w:w="11905" w:h="16838"/>
      <w:pgMar w:top="1440" w:right="1803" w:bottom="1440" w:left="1803" w:header="850" w:footer="850" w:gutter="0"/>
      <w:pgNumType w:fmt="decimal"/>
      <w:cols w:space="0"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Sans Serif">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16" w:usb3="00000000" w:csb0="6006009F" w:csb1="DFD70000"/>
  </w:font>
  <w:font w:name="宋体-18030">
    <w:altName w:val="微软雅黑"/>
    <w:panose1 w:val="00000000000000000000"/>
    <w:charset w:val="00"/>
    <w:family w:val="modern"/>
    <w:pitch w:val="default"/>
    <w:sig w:usb0="00000000" w:usb1="00000000" w:usb2="000A005E"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E64594">
    <w:pPr>
      <w:pStyle w:val="10"/>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6653D">
    <w:pPr>
      <w:pStyle w:val="10"/>
      <w:framePr w:wrap="around" w:vAnchor="text" w:hAnchor="margin" w:xAlign="right" w:y="1"/>
      <w:ind w:firstLine="360"/>
      <w:rPr>
        <w:rStyle w:val="19"/>
      </w:rPr>
    </w:pPr>
    <w:r>
      <w:fldChar w:fldCharType="begin"/>
    </w:r>
    <w:r>
      <w:rPr>
        <w:rStyle w:val="19"/>
      </w:rPr>
      <w:instrText xml:space="preserve">PAGE  </w:instrText>
    </w:r>
    <w:r>
      <w:fldChar w:fldCharType="end"/>
    </w:r>
  </w:p>
  <w:p w14:paraId="0950241E">
    <w:pPr>
      <w:pStyle w:val="10"/>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77B2C">
    <w:pPr>
      <w:pStyle w:val="10"/>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1CB3C0">
    <w:pPr>
      <w:pStyle w:val="10"/>
      <w:snapToGrid/>
      <w:spacing w:line="240" w:lineRule="auto"/>
      <w:ind w:firstLine="0" w:firstLineChars="0"/>
      <w:jc w:val="both"/>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72ECB">
    <w:pPr>
      <w:pStyle w:val="10"/>
      <w:framePr w:wrap="around" w:vAnchor="text" w:hAnchor="margin" w:xAlign="center" w:y="1"/>
      <w:ind w:firstLine="360"/>
      <w:rPr>
        <w:rStyle w:val="19"/>
      </w:rPr>
    </w:pPr>
    <w:r>
      <w:fldChar w:fldCharType="begin"/>
    </w:r>
    <w:r>
      <w:rPr>
        <w:rStyle w:val="19"/>
      </w:rPr>
      <w:instrText xml:space="preserve">PAGE  </w:instrText>
    </w:r>
    <w:r>
      <w:fldChar w:fldCharType="separate"/>
    </w:r>
    <w:r>
      <w:rPr>
        <w:rStyle w:val="19"/>
      </w:rPr>
      <w:t>9</w:t>
    </w:r>
    <w:r>
      <w:fldChar w:fldCharType="end"/>
    </w:r>
  </w:p>
  <w:p w14:paraId="0BE071C2">
    <w:pPr>
      <w:pStyle w:val="10"/>
      <w:ind w:right="360"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33BD9">
    <w:pPr>
      <w:pStyle w:val="10"/>
      <w:snapToGrid/>
      <w:spacing w:line="240" w:lineRule="auto"/>
      <w:ind w:firstLine="0" w:firstLineChars="0"/>
      <w:jc w:val="both"/>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49B22C">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E49B22C">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2C813E">
    <w:pPr>
      <w:pStyle w:val="1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82D04C">
                          <w:pPr>
                            <w:pStyle w:val="10"/>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082D04C">
                    <w:pPr>
                      <w:pStyle w:val="10"/>
                    </w:pPr>
                    <w:r>
                      <w:fldChar w:fldCharType="begin"/>
                    </w:r>
                    <w:r>
                      <w:instrText xml:space="preserve"> PAGE  \* MERGEFORMAT </w:instrText>
                    </w:r>
                    <w:r>
                      <w:fldChar w:fldCharType="separate"/>
                    </w:r>
                    <w:r>
                      <w:t>65</w:t>
                    </w:r>
                    <w:r>
                      <w:fldChar w:fldCharType="end"/>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7E9EC6FD">
                          <w:pPr>
                            <w:rPr>
                              <w:rFonts w:hint="eastAsia"/>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oaYJL0wAAAAUBAAAPAAAAAAAAAAEAIAAAACIAAABk&#10;cnMvZG93bnJldi54bWxQSwECFAAUAAAACACHTuJAHNwfrNIBAACjAwAADgAAAAAAAAABACAAAAAi&#10;AQAAZHJzL2Uyb0RvYy54bWxQSwUGAAAAAAYABgBZAQAAZgUAAAAA&#10;">
              <v:fill on="f" focussize="0,0"/>
              <v:stroke on="f" weight="1.25pt"/>
              <v:imagedata o:title=""/>
              <o:lock v:ext="edit" aspectratio="f"/>
              <v:textbox inset="0mm,0mm,0mm,0mm" style="mso-fit-shape-to-text:t;">
                <w:txbxContent>
                  <w:p w14:paraId="7E9EC6FD">
                    <w:pPr>
                      <w:rPr>
                        <w:rFonts w:hint="eastAsia"/>
                      </w:rPr>
                    </w:pP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FD3E8">
    <w:pPr>
      <w:pStyle w:val="10"/>
      <w:jc w:val="center"/>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533078">
                          <w:pPr>
                            <w:pStyle w:val="10"/>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59533078">
                    <w:pPr>
                      <w:pStyle w:val="10"/>
                    </w:pPr>
                    <w:r>
                      <w:fldChar w:fldCharType="begin"/>
                    </w:r>
                    <w:r>
                      <w:instrText xml:space="preserve"> PAGE  \* MERGEFORMAT </w:instrText>
                    </w:r>
                    <w:r>
                      <w:fldChar w:fldCharType="separate"/>
                    </w:r>
                    <w:r>
                      <w:t>54</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97242">
    <w:pPr>
      <w:pStyle w:val="10"/>
      <w:ind w:left="0" w:leftChars="0" w:firstLine="0" w:firstLineChars="0"/>
      <w:rPr>
        <w:rStyle w:val="19"/>
        <w:rFonts w:hint="eastAsia" w:eastAsia="宋体"/>
        <w:lang w:val="en-US" w:eastAsia="zh-CN"/>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8BC364">
                          <w:pPr>
                            <w:pStyle w:val="10"/>
                          </w:pPr>
                          <w:r>
                            <w:fldChar w:fldCharType="begin"/>
                          </w:r>
                          <w:r>
                            <w:instrText xml:space="preserve"> PAGE  \* MERGEFORMAT </w:instrText>
                          </w:r>
                          <w:r>
                            <w:fldChar w:fldCharType="separate"/>
                          </w:r>
                          <w:r>
                            <w:t>68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48BC364">
                    <w:pPr>
                      <w:pStyle w:val="10"/>
                    </w:pPr>
                    <w:r>
                      <w:fldChar w:fldCharType="begin"/>
                    </w:r>
                    <w:r>
                      <w:instrText xml:space="preserve"> PAGE  \* MERGEFORMAT </w:instrText>
                    </w:r>
                    <w:r>
                      <w:fldChar w:fldCharType="separate"/>
                    </w:r>
                    <w:r>
                      <w:t>68</w:t>
                    </w:r>
                    <w:r>
                      <w:fldChar w:fldCharType="end"/>
                    </w:r>
                  </w:p>
                </w:txbxContent>
              </v:textbox>
            </v:shape>
          </w:pict>
        </mc:Fallback>
      </mc:AlternateContent>
    </w:r>
    <w:r>
      <w:rPr>
        <w:rStyle w:val="19"/>
        <w:rFonts w:hint="eastAsia"/>
        <w:lang w:val="en-US" w:eastAsia="zh-CN"/>
      </w:rPr>
      <w:t xml:space="preserve"> </w:t>
    </w:r>
  </w:p>
  <w:p w14:paraId="0CD862AC">
    <w:pPr>
      <w:pStyle w:val="1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A5B6FD">
    <w:pPr>
      <w:pStyle w:val="10"/>
      <w:framePr w:wrap="around" w:vAnchor="text" w:hAnchor="margin" w:xAlign="center" w:y="1"/>
      <w:rPr>
        <w:rStyle w:val="19"/>
      </w:rPr>
    </w:pPr>
    <w:r>
      <w:fldChar w:fldCharType="begin"/>
    </w:r>
    <w:r>
      <w:rPr>
        <w:rStyle w:val="19"/>
      </w:rPr>
      <w:instrText xml:space="preserve">PAGE  </w:instrText>
    </w:r>
    <w:r>
      <w:fldChar w:fldCharType="separate"/>
    </w:r>
    <w:r>
      <w:rPr>
        <w:rStyle w:val="19"/>
      </w:rPr>
      <w:t>52</w:t>
    </w:r>
    <w:r>
      <w:fldChar w:fldCharType="end"/>
    </w:r>
  </w:p>
  <w:p w14:paraId="4EEE1ADD">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7D557">
    <w:pPr>
      <w:pStyle w:val="11"/>
      <w:pBdr>
        <w:bottom w:val="none" w:color="auto" w:sz="0" w:space="1"/>
      </w:pBdr>
      <w:wordWrap/>
      <w:topLinePunct w:val="0"/>
      <w:spacing w:line="240" w:lineRule="auto"/>
      <w:ind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392AE">
    <w:pPr>
      <w:pStyle w:val="11"/>
      <w:ind w:firstLine="360"/>
    </w:pPr>
    <w:r>
      <w:rPr>
        <w:rFonts w:hint="eastAsia"/>
      </w:rPr>
      <w:t>吉林省驰茗项目管理咨询有限公司—招标文件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6D4EC">
    <w:pPr>
      <w:pStyle w:val="11"/>
      <w:pBdr>
        <w:bottom w:val="none" w:color="auto" w:sz="0" w:space="1"/>
      </w:pBdr>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8C53F">
    <w:pPr>
      <w:pStyle w:val="11"/>
      <w:pBdr>
        <w:bottom w:val="none" w:color="auto" w:sz="0" w:space="1"/>
      </w:pBdr>
      <w:wordWrap/>
      <w:topLinePunct w:val="0"/>
      <w:snapToGrid/>
      <w:spacing w:line="240" w:lineRule="auto"/>
      <w:ind w:firstLine="0" w:firstLineChars="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CE2395">
    <w:pPr>
      <w:pStyle w:val="11"/>
      <w:pBdr>
        <w:bottom w:val="none" w:color="auto" w:sz="0" w:space="0"/>
      </w:pBdr>
      <w:spacing w:line="240" w:lineRule="auto"/>
      <w:ind w:firstLine="0" w:firstLineChars="0"/>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71FCB6"/>
    <w:multiLevelType w:val="singleLevel"/>
    <w:tmpl w:val="8171FCB6"/>
    <w:lvl w:ilvl="0" w:tentative="0">
      <w:start w:val="1"/>
      <w:numFmt w:val="decimal"/>
      <w:suff w:val="space"/>
      <w:lvlText w:val="%1."/>
      <w:lvlJc w:val="left"/>
    </w:lvl>
  </w:abstractNum>
  <w:abstractNum w:abstractNumId="1">
    <w:nsid w:val="69BC2B3E"/>
    <w:multiLevelType w:val="multilevel"/>
    <w:tmpl w:val="69BC2B3E"/>
    <w:lvl w:ilvl="0" w:tentative="0">
      <w:start w:val="1"/>
      <w:numFmt w:val="decimal"/>
      <w:suff w:val="nothing"/>
      <w:lvlText w:val="%1"/>
      <w:lvlJc w:val="left"/>
      <w:pPr>
        <w:ind w:left="420" w:hanging="420"/>
      </w:pPr>
      <w:rPr>
        <w:rFonts w:hint="eastAsia" w:ascii="宋体" w:eastAsia="宋体"/>
        <w:b w:val="0"/>
        <w:i w:val="0"/>
        <w:snapToGrid/>
        <w:spacing w:val="20"/>
        <w:w w:val="100"/>
        <w:kern w:val="21"/>
        <w:position w:val="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D9A4A06"/>
    <w:rsid w:val="00F86B29"/>
    <w:rsid w:val="0187215A"/>
    <w:rsid w:val="029D3BDC"/>
    <w:rsid w:val="02BE582C"/>
    <w:rsid w:val="02E2523A"/>
    <w:rsid w:val="02FF3CE5"/>
    <w:rsid w:val="03F67C0B"/>
    <w:rsid w:val="049B5681"/>
    <w:rsid w:val="05196B38"/>
    <w:rsid w:val="064C314F"/>
    <w:rsid w:val="07070555"/>
    <w:rsid w:val="07744CBC"/>
    <w:rsid w:val="0907166B"/>
    <w:rsid w:val="0A70162F"/>
    <w:rsid w:val="0AD14E2E"/>
    <w:rsid w:val="0B3D750A"/>
    <w:rsid w:val="0D12619B"/>
    <w:rsid w:val="0F191EA5"/>
    <w:rsid w:val="0FFC6856"/>
    <w:rsid w:val="102F75CC"/>
    <w:rsid w:val="105C26FE"/>
    <w:rsid w:val="10DC52F6"/>
    <w:rsid w:val="116C6B41"/>
    <w:rsid w:val="11B034DF"/>
    <w:rsid w:val="11DA5AB3"/>
    <w:rsid w:val="12431724"/>
    <w:rsid w:val="12BE1B98"/>
    <w:rsid w:val="14F34E5A"/>
    <w:rsid w:val="15AB7A85"/>
    <w:rsid w:val="183103A1"/>
    <w:rsid w:val="19B2787E"/>
    <w:rsid w:val="19C25ACC"/>
    <w:rsid w:val="1AD66C3C"/>
    <w:rsid w:val="1B8427A4"/>
    <w:rsid w:val="1C050297"/>
    <w:rsid w:val="1C7E2917"/>
    <w:rsid w:val="1D284873"/>
    <w:rsid w:val="1D73479A"/>
    <w:rsid w:val="1E866B41"/>
    <w:rsid w:val="1FC14756"/>
    <w:rsid w:val="1FD90153"/>
    <w:rsid w:val="1FEE2FFA"/>
    <w:rsid w:val="1FF40BA2"/>
    <w:rsid w:val="20BE669E"/>
    <w:rsid w:val="219F4623"/>
    <w:rsid w:val="21E722C6"/>
    <w:rsid w:val="220E1AD7"/>
    <w:rsid w:val="23623B5A"/>
    <w:rsid w:val="242B106E"/>
    <w:rsid w:val="246D6C5B"/>
    <w:rsid w:val="24CB009A"/>
    <w:rsid w:val="26720558"/>
    <w:rsid w:val="27035091"/>
    <w:rsid w:val="27054F28"/>
    <w:rsid w:val="274C7976"/>
    <w:rsid w:val="27D43B30"/>
    <w:rsid w:val="298E38FB"/>
    <w:rsid w:val="29936CBB"/>
    <w:rsid w:val="2ACA048D"/>
    <w:rsid w:val="2B513497"/>
    <w:rsid w:val="2C5F68B3"/>
    <w:rsid w:val="2CC357F9"/>
    <w:rsid w:val="2CE95D27"/>
    <w:rsid w:val="2DF253A1"/>
    <w:rsid w:val="2FFB1CB0"/>
    <w:rsid w:val="30D952FD"/>
    <w:rsid w:val="31A51DEB"/>
    <w:rsid w:val="32715F3B"/>
    <w:rsid w:val="3366208C"/>
    <w:rsid w:val="339E0BDF"/>
    <w:rsid w:val="34A92624"/>
    <w:rsid w:val="351C625F"/>
    <w:rsid w:val="35260E8C"/>
    <w:rsid w:val="371F58E9"/>
    <w:rsid w:val="38827706"/>
    <w:rsid w:val="3A1C0557"/>
    <w:rsid w:val="3BC37786"/>
    <w:rsid w:val="3C7324DC"/>
    <w:rsid w:val="3C8A61A4"/>
    <w:rsid w:val="3D020A63"/>
    <w:rsid w:val="3DC72AE0"/>
    <w:rsid w:val="3E8B1D5F"/>
    <w:rsid w:val="3EED7F38"/>
    <w:rsid w:val="3F446ADE"/>
    <w:rsid w:val="40E22E81"/>
    <w:rsid w:val="42D3596A"/>
    <w:rsid w:val="433F599E"/>
    <w:rsid w:val="435720D9"/>
    <w:rsid w:val="4369773A"/>
    <w:rsid w:val="43874346"/>
    <w:rsid w:val="43884E34"/>
    <w:rsid w:val="438970F8"/>
    <w:rsid w:val="43A044FF"/>
    <w:rsid w:val="43ED67C9"/>
    <w:rsid w:val="448742A8"/>
    <w:rsid w:val="448770E7"/>
    <w:rsid w:val="46A437F8"/>
    <w:rsid w:val="47653A95"/>
    <w:rsid w:val="49814B0B"/>
    <w:rsid w:val="499B66D1"/>
    <w:rsid w:val="4AB51104"/>
    <w:rsid w:val="4B400C82"/>
    <w:rsid w:val="4B506FDF"/>
    <w:rsid w:val="4D7629FC"/>
    <w:rsid w:val="4D904369"/>
    <w:rsid w:val="4DA14B15"/>
    <w:rsid w:val="4E9C58D2"/>
    <w:rsid w:val="4F7C6BB7"/>
    <w:rsid w:val="4FFE14C1"/>
    <w:rsid w:val="51A91D15"/>
    <w:rsid w:val="52177B3C"/>
    <w:rsid w:val="52E4190F"/>
    <w:rsid w:val="53A25729"/>
    <w:rsid w:val="53EA129E"/>
    <w:rsid w:val="54666487"/>
    <w:rsid w:val="549E2395"/>
    <w:rsid w:val="55202DAA"/>
    <w:rsid w:val="56FC33A3"/>
    <w:rsid w:val="56FD739C"/>
    <w:rsid w:val="57E053FB"/>
    <w:rsid w:val="584F782B"/>
    <w:rsid w:val="585A43F2"/>
    <w:rsid w:val="591A3FB4"/>
    <w:rsid w:val="591E1CF6"/>
    <w:rsid w:val="59612D6C"/>
    <w:rsid w:val="5A646165"/>
    <w:rsid w:val="5C0C3F3E"/>
    <w:rsid w:val="5D9A4A06"/>
    <w:rsid w:val="5E103299"/>
    <w:rsid w:val="5F116103"/>
    <w:rsid w:val="5F595B84"/>
    <w:rsid w:val="618278C6"/>
    <w:rsid w:val="620A02AE"/>
    <w:rsid w:val="62AF7E63"/>
    <w:rsid w:val="638B442C"/>
    <w:rsid w:val="64BA4936"/>
    <w:rsid w:val="64E6176D"/>
    <w:rsid w:val="65047CE3"/>
    <w:rsid w:val="6547404A"/>
    <w:rsid w:val="66C9525E"/>
    <w:rsid w:val="675D1087"/>
    <w:rsid w:val="67944C4F"/>
    <w:rsid w:val="67F0048D"/>
    <w:rsid w:val="6873723D"/>
    <w:rsid w:val="68882CE8"/>
    <w:rsid w:val="68D2435A"/>
    <w:rsid w:val="6A375E22"/>
    <w:rsid w:val="6AA771B0"/>
    <w:rsid w:val="6ACE7020"/>
    <w:rsid w:val="6B8F4B55"/>
    <w:rsid w:val="6BF15048"/>
    <w:rsid w:val="6C744A58"/>
    <w:rsid w:val="6D3E7603"/>
    <w:rsid w:val="6E7B49F9"/>
    <w:rsid w:val="6FD63E09"/>
    <w:rsid w:val="6FF179AF"/>
    <w:rsid w:val="70996858"/>
    <w:rsid w:val="70F705B1"/>
    <w:rsid w:val="71404DC3"/>
    <w:rsid w:val="71491244"/>
    <w:rsid w:val="727F515C"/>
    <w:rsid w:val="72DB43EA"/>
    <w:rsid w:val="72F0059F"/>
    <w:rsid w:val="73D2750D"/>
    <w:rsid w:val="74E05032"/>
    <w:rsid w:val="74FD4A0C"/>
    <w:rsid w:val="7516167C"/>
    <w:rsid w:val="768F16E6"/>
    <w:rsid w:val="768F1979"/>
    <w:rsid w:val="77882D05"/>
    <w:rsid w:val="77EC502A"/>
    <w:rsid w:val="78B00B35"/>
    <w:rsid w:val="78D66ABB"/>
    <w:rsid w:val="79F41DC6"/>
    <w:rsid w:val="7A1F773E"/>
    <w:rsid w:val="7A637111"/>
    <w:rsid w:val="7A890A42"/>
    <w:rsid w:val="7B4573B5"/>
    <w:rsid w:val="7CAA075C"/>
    <w:rsid w:val="7D9F66B2"/>
    <w:rsid w:val="7E611BB9"/>
    <w:rsid w:val="7EA5419C"/>
    <w:rsid w:val="7ECD6B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wordWrap w:val="0"/>
      <w:topLinePunct/>
      <w:spacing w:line="360" w:lineRule="auto"/>
      <w:ind w:firstLine="200" w:firstLineChars="200"/>
      <w:jc w:val="both"/>
    </w:pPr>
    <w:rPr>
      <w:rFonts w:ascii="宋体" w:hAnsi="Times New Roman" w:eastAsia="宋体" w:cs="Times New Roman"/>
      <w:kern w:val="21"/>
      <w:sz w:val="21"/>
      <w:szCs w:val="22"/>
      <w:lang w:val="en-US" w:eastAsia="zh-CN" w:bidi="ar-SA"/>
    </w:rPr>
  </w:style>
  <w:style w:type="paragraph" w:styleId="2">
    <w:name w:val="heading 1"/>
    <w:basedOn w:val="1"/>
    <w:next w:val="1"/>
    <w:qFormat/>
    <w:uiPriority w:val="9"/>
    <w:pPr>
      <w:keepLines/>
      <w:ind w:firstLine="0" w:firstLineChars="0"/>
      <w:jc w:val="center"/>
      <w:outlineLvl w:val="0"/>
    </w:pPr>
    <w:rPr>
      <w:b/>
      <w:bCs/>
      <w:kern w:val="32"/>
      <w:sz w:val="32"/>
      <w:szCs w:val="44"/>
    </w:rPr>
  </w:style>
  <w:style w:type="paragraph" w:styleId="3">
    <w:name w:val="heading 2"/>
    <w:basedOn w:val="1"/>
    <w:next w:val="4"/>
    <w:link w:val="24"/>
    <w:qFormat/>
    <w:uiPriority w:val="9"/>
    <w:pPr>
      <w:keepNext/>
      <w:keepLines/>
      <w:spacing w:before="260" w:beforeLines="0" w:after="260" w:afterLines="0" w:line="413" w:lineRule="auto"/>
      <w:outlineLvl w:val="1"/>
    </w:pPr>
    <w:rPr>
      <w:rFonts w:ascii="Arial" w:hAnsi="Arial" w:eastAsia="黑体"/>
      <w:b/>
      <w:bCs/>
      <w:kern w:val="2"/>
      <w:sz w:val="32"/>
      <w:szCs w:val="32"/>
      <w:lang w:val="en-US" w:eastAsia="zh-CN" w:bidi="ar-SA"/>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firstLineChars="200"/>
    </w:pPr>
    <w:rPr>
      <w:rFonts w:ascii="Times New Roman"/>
      <w:kern w:val="0"/>
      <w:sz w:val="20"/>
      <w:szCs w:val="24"/>
    </w:rPr>
  </w:style>
  <w:style w:type="paragraph" w:styleId="5">
    <w:name w:val="index 5"/>
    <w:basedOn w:val="1"/>
    <w:next w:val="1"/>
    <w:qFormat/>
    <w:uiPriority w:val="0"/>
    <w:pPr>
      <w:adjustRightInd w:val="0"/>
      <w:snapToGrid w:val="0"/>
      <w:spacing w:line="360" w:lineRule="auto"/>
      <w:jc w:val="center"/>
    </w:pPr>
    <w:rPr>
      <w:rFonts w:ascii="宋体" w:hAnsi="宋体" w:cs="宋体"/>
      <w:bCs/>
      <w:kern w:val="0"/>
      <w:szCs w:val="21"/>
    </w:rPr>
  </w:style>
  <w:style w:type="paragraph" w:styleId="6">
    <w:name w:val="Body Text"/>
    <w:basedOn w:val="1"/>
    <w:qFormat/>
    <w:uiPriority w:val="0"/>
    <w:pPr>
      <w:widowControl/>
      <w:spacing w:after="120"/>
      <w:jc w:val="left"/>
    </w:pPr>
    <w:rPr>
      <w:kern w:val="0"/>
      <w:sz w:val="20"/>
      <w:szCs w:val="20"/>
    </w:rPr>
  </w:style>
  <w:style w:type="paragraph" w:styleId="7">
    <w:name w:val="Body Text Indent"/>
    <w:basedOn w:val="1"/>
    <w:next w:val="1"/>
    <w:qFormat/>
    <w:uiPriority w:val="0"/>
    <w:pPr>
      <w:widowControl/>
      <w:overflowPunct w:val="0"/>
      <w:autoSpaceDE w:val="0"/>
      <w:autoSpaceDN w:val="0"/>
      <w:adjustRightInd w:val="0"/>
      <w:spacing w:line="360" w:lineRule="auto"/>
      <w:ind w:firstLine="540"/>
      <w:textAlignment w:val="baseline"/>
    </w:pPr>
    <w:rPr>
      <w:rFonts w:ascii="宋体" w:hAnsi="MS Sans Serif"/>
      <w:spacing w:val="12"/>
      <w:kern w:val="0"/>
      <w:sz w:val="24"/>
      <w:szCs w:val="20"/>
    </w:rPr>
  </w:style>
  <w:style w:type="paragraph" w:styleId="8">
    <w:name w:val="Plain Text"/>
    <w:basedOn w:val="1"/>
    <w:qFormat/>
    <w:uiPriority w:val="0"/>
    <w:rPr>
      <w:rFonts w:ascii="宋体" w:hAnsi="Courier New" w:cs="Courier New"/>
      <w:szCs w:val="21"/>
    </w:rPr>
  </w:style>
  <w:style w:type="paragraph" w:styleId="9">
    <w:name w:val="Date"/>
    <w:basedOn w:val="1"/>
    <w:next w:val="1"/>
    <w:qFormat/>
    <w:uiPriority w:val="0"/>
    <w:pPr>
      <w:ind w:left="100" w:leftChars="2500"/>
    </w:pPr>
    <w:rPr>
      <w:rFonts w:ascii="宋体" w:hAnsi="宋体"/>
      <w:sz w:val="28"/>
      <w:szCs w:val="20"/>
    </w:rPr>
  </w:style>
  <w:style w:type="paragraph" w:styleId="10">
    <w:name w:val="footer"/>
    <w:basedOn w:val="1"/>
    <w:unhideWhenUsed/>
    <w:qFormat/>
    <w:uiPriority w:val="99"/>
    <w:pPr>
      <w:tabs>
        <w:tab w:val="center" w:pos="4153"/>
        <w:tab w:val="right" w:pos="8306"/>
      </w:tabs>
      <w:snapToGrid w:val="0"/>
      <w:jc w:val="left"/>
    </w:pPr>
    <w:rPr>
      <w:sz w:val="18"/>
      <w:szCs w:val="18"/>
    </w:rPr>
  </w:style>
  <w:style w:type="paragraph" w:styleId="11">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0"/>
    <w:pPr>
      <w:tabs>
        <w:tab w:val="right" w:leader="dot" w:pos="9061"/>
      </w:tabs>
      <w:spacing w:line="720" w:lineRule="auto"/>
      <w:ind w:firstLine="0" w:firstLineChars="0"/>
      <w:jc w:val="left"/>
    </w:pPr>
    <w:rPr>
      <w:rFonts w:ascii="宋体" w:hAnsi="宋体" w:eastAsia="宋体"/>
      <w:b/>
      <w:bCs/>
      <w:caps/>
      <w:sz w:val="28"/>
      <w:szCs w:val="21"/>
    </w:rPr>
  </w:style>
  <w:style w:type="paragraph" w:styleId="13">
    <w:name w:val="toc 2"/>
    <w:basedOn w:val="1"/>
    <w:next w:val="1"/>
    <w:qFormat/>
    <w:uiPriority w:val="0"/>
    <w:pPr>
      <w:spacing w:line="480" w:lineRule="auto"/>
      <w:ind w:left="0" w:firstLine="1205" w:firstLineChars="200"/>
      <w:jc w:val="left"/>
    </w:pPr>
    <w:rPr>
      <w:rFonts w:ascii="宋体" w:hAnsi="宋体" w:eastAsia="宋体"/>
      <w:smallCaps/>
      <w:sz w:val="24"/>
      <w:szCs w:val="20"/>
    </w:rPr>
  </w:style>
  <w:style w:type="paragraph" w:styleId="14">
    <w:name w:val="Normal (Web)"/>
    <w:basedOn w:val="1"/>
    <w:qFormat/>
    <w:uiPriority w:val="99"/>
    <w:pPr>
      <w:widowControl/>
      <w:spacing w:before="100" w:beforeAutospacing="1" w:after="100" w:afterAutospacing="1"/>
      <w:jc w:val="left"/>
    </w:pPr>
    <w:rPr>
      <w:rFonts w:hint="eastAsia" w:ascii="宋体" w:hAnsi="宋体"/>
      <w:kern w:val="0"/>
      <w:sz w:val="24"/>
      <w:szCs w:val="20"/>
    </w:rPr>
  </w:style>
  <w:style w:type="paragraph" w:styleId="15">
    <w:name w:val="Body Text First Indent 2"/>
    <w:basedOn w:val="7"/>
    <w:unhideWhenUsed/>
    <w:qFormat/>
    <w:uiPriority w:val="99"/>
    <w:pPr>
      <w:ind w:firstLine="420" w:firstLineChars="200"/>
    </w:pPr>
  </w:style>
  <w:style w:type="character" w:styleId="18">
    <w:name w:val="Strong"/>
    <w:basedOn w:val="17"/>
    <w:qFormat/>
    <w:uiPriority w:val="22"/>
    <w:rPr>
      <w:b/>
      <w:bCs/>
    </w:rPr>
  </w:style>
  <w:style w:type="character" w:styleId="19">
    <w:name w:val="page number"/>
    <w:basedOn w:val="17"/>
    <w:qFormat/>
    <w:uiPriority w:val="0"/>
  </w:style>
  <w:style w:type="character" w:styleId="20">
    <w:name w:val="Emphasis"/>
    <w:basedOn w:val="17"/>
    <w:qFormat/>
    <w:uiPriority w:val="20"/>
    <w:rPr>
      <w:i/>
      <w:iCs/>
    </w:rPr>
  </w:style>
  <w:style w:type="paragraph" w:customStyle="1" w:styleId="21">
    <w:name w:val="Default"/>
    <w:next w:val="9"/>
    <w:qFormat/>
    <w:uiPriority w:val="0"/>
    <w:pPr>
      <w:widowControl w:val="0"/>
      <w:autoSpaceDE w:val="0"/>
      <w:autoSpaceDN w:val="0"/>
      <w:adjustRightInd w:val="0"/>
    </w:pPr>
    <w:rPr>
      <w:rFonts w:ascii="宋体" w:hAnsi="宋体" w:eastAsia="Calibri" w:cs="宋体"/>
      <w:color w:val="000000"/>
      <w:kern w:val="2"/>
      <w:sz w:val="24"/>
      <w:szCs w:val="24"/>
      <w:lang w:val="en-US" w:eastAsia="zh-CN" w:bidi="ar-SA"/>
    </w:rPr>
  </w:style>
  <w:style w:type="paragraph" w:customStyle="1" w:styleId="22">
    <w:name w:val="Table Text"/>
    <w:basedOn w:val="1"/>
    <w:semiHidden/>
    <w:qFormat/>
    <w:uiPriority w:val="0"/>
    <w:rPr>
      <w:rFonts w:ascii="宋体" w:hAnsi="宋体" w:cs="宋体"/>
      <w:sz w:val="20"/>
      <w:lang w:eastAsia="en-US"/>
    </w:rPr>
  </w:style>
  <w:style w:type="paragraph" w:customStyle="1" w:styleId="23">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character" w:customStyle="1" w:styleId="24">
    <w:name w:val="标题 2 Char2"/>
    <w:link w:val="3"/>
    <w:qFormat/>
    <w:uiPriority w:val="0"/>
    <w:rPr>
      <w:rFonts w:ascii="Arial" w:hAnsi="Arial" w:eastAsia="黑体"/>
      <w:b/>
      <w:bCs/>
      <w:kern w:val="2"/>
      <w:sz w:val="32"/>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2.png"/><Relationship Id="rId21" Type="http://schemas.openxmlformats.org/officeDocument/2006/relationships/image" Target="media/image1.pn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header" Target="header5.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83</Pages>
  <Words>34500</Words>
  <Characters>36806</Characters>
  <Lines>0</Lines>
  <Paragraphs>0</Paragraphs>
  <TotalTime>37</TotalTime>
  <ScaleCrop>false</ScaleCrop>
  <LinksUpToDate>false</LinksUpToDate>
  <CharactersWithSpaces>37184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2026-09-26T04:52:00Z</dcterms:created>
  <dc:creator>KH</dc:creator>
  <cp:lastModifiedBy>KH</cp:lastModifiedBy>
  <dcterms:modified xsi:type="dcterms:W3CDTF">2026-09-29T07:11:31Z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6DB0F647217D41478F7A5C59A9FD1589_11</vt:lpwstr>
  </property>
  <property fmtid="{D5CDD505-2E9C-101B-9397-08002B2CF9AE}" pid="4" name="KSOTemplateDocerSaveRecord">
    <vt:lpwstr>eyJoZGlkIjoiMTg5MTg0MTljNDMzMjNkOGZjMGQ4MjMzY2Y1YzJjMDciLCJ1c2VySWQiOiIyNDEyOTM3MjYifQ==</vt:lpwstr>
  </property>
</Properties>
</file>