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spacing w:before="0" w:after="0" w:line="600" w:lineRule="exact"/>
        <w:ind w:firstLine="199" w:firstLineChars="62"/>
        <w:jc w:val="center"/>
        <w:rPr>
          <w:rFonts w:ascii="仿宋_GB2312" w:hAnsi="Times New Roman" w:eastAsia="仿宋_GB2312"/>
          <w:spacing w:val="-24"/>
        </w:rPr>
      </w:pPr>
      <w:bookmarkStart w:id="0" w:name="_GoBack"/>
      <w:r>
        <w:rPr>
          <w:rFonts w:hint="eastAsia" w:ascii="仿宋_GB2312" w:hAnsi="Times New Roman" w:eastAsia="仿宋_GB2312"/>
        </w:rPr>
        <w:t xml:space="preserve">附表5 </w:t>
      </w:r>
      <w:r>
        <w:rPr>
          <w:rFonts w:hint="eastAsia" w:ascii="仿宋_GB2312" w:hAnsi="Times New Roman" w:eastAsia="仿宋_GB2312"/>
          <w:spacing w:val="-24"/>
        </w:rPr>
        <w:t>县城和城乡结合部35蒸吨及以上锅炉情况汇总表</w:t>
      </w:r>
      <w:bookmarkEnd w:id="0"/>
    </w:p>
    <w:tbl>
      <w:tblPr>
        <w:tblStyle w:val="3"/>
        <w:tblW w:w="13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3787"/>
        <w:gridCol w:w="2073"/>
        <w:gridCol w:w="2724"/>
        <w:gridCol w:w="3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供热企业名称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供热面积（万m</w:t>
            </w:r>
            <w:r>
              <w:rPr>
                <w:rFonts w:hint="eastAsia" w:ascii="仿宋_GB2312" w:eastAsia="仿宋_GB2312"/>
                <w:b/>
                <w:bCs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）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蒸汽锅炉容量(t/h)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热水锅炉容量（兆瓦）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黑龙江岁宝热电有限公司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1200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1×220+2×75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4×116+2×52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哈尔滨中润房产公司阿城分公司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双城区国发热电有限责任公司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420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3×75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双城区晟瑞热力供应有限公司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530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4×64+2×46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五常市天宝热力有限公司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450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i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i/>
                <w:iCs/>
                <w:kern w:val="0"/>
                <w:sz w:val="24"/>
              </w:rPr>
              <w:t>2×130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5×58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五常市金山热力有限公司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370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　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7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中鑫热电有限责任公司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352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2×130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1×29+2×58+1×75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尚志市腾翔供热公司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75" w:type="dxa"/>
            <w:noWrap w:val="0"/>
            <w:vAlign w:val="top"/>
          </w:tcPr>
          <w:p>
            <w:pPr>
              <w:jc w:val="center"/>
              <w:rPr>
                <w:rFonts w:ascii="Calibri" w:hAnsi="Calibri" w:cs="黑体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9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尚志市长兴物业公司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75" w:type="dxa"/>
            <w:noWrap w:val="0"/>
            <w:vAlign w:val="top"/>
          </w:tcPr>
          <w:p>
            <w:pPr>
              <w:jc w:val="center"/>
              <w:rPr>
                <w:rFonts w:ascii="Calibri" w:hAnsi="Calibri" w:cs="黑体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10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捷能热力电站有限公司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2×29+1×46+1×70+1×90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11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依兰热源厂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420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12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依兰县达连河鑫玛热电有限公司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83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1×75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13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木兰县顺和热电有限公司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2×75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14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通河恒泰热电有限公司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380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4×75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15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方正县宏宇热力有限公司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310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16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巴彦裕宝热力有限责任公司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443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i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i/>
                <w:iCs/>
                <w:kern w:val="0"/>
                <w:sz w:val="24"/>
              </w:rPr>
              <w:t>2×100+1×75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1×70+1×58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17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巴彦兴隆热力有限责任公司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75" w:type="dxa"/>
            <w:noWrap w:val="0"/>
            <w:vAlign w:val="top"/>
          </w:tcPr>
          <w:p>
            <w:pPr>
              <w:jc w:val="center"/>
              <w:rPr>
                <w:rFonts w:ascii="Calibri" w:hAnsi="Calibri" w:cs="黑体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18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宾县宏达热电有限公司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630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3×75+1×130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19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哈尔滨长恒热电有限公司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合计</w:t>
            </w:r>
          </w:p>
        </w:tc>
        <w:tc>
          <w:tcPr>
            <w:tcW w:w="37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　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6338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2270</w:t>
            </w:r>
          </w:p>
        </w:tc>
        <w:tc>
          <w:tcPr>
            <w:tcW w:w="34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3022</w:t>
            </w:r>
          </w:p>
        </w:tc>
      </w:tr>
    </w:tbl>
    <w:p>
      <w:pPr>
        <w:ind w:firstLine="240" w:firstLineChars="100"/>
      </w:pPr>
      <w:r>
        <w:rPr>
          <w:rFonts w:hint="eastAsia" w:ascii="仿宋_GB2312" w:eastAsia="仿宋_GB2312"/>
          <w:kern w:val="0"/>
          <w:sz w:val="24"/>
        </w:rPr>
        <w:t>说明：“蒸汽锅炉容量”列中斜体字所示锅炉已完成超低排放改造。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32C68"/>
    <w:rsid w:val="7823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2020-01-07T01:32:00Z</dcterms:created>
  <dc:creator>子焉</dc:creator>
  <cp:lastModifiedBy>子焉</cp:lastModifiedBy>
  <dcterms:modified xsi:type="dcterms:W3CDTF">2020-01-07T01:33:13Z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