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CESI仿宋-GB2312"/>
          <w:sz w:val="32"/>
          <w:szCs w:val="32"/>
        </w:rPr>
      </w:pPr>
      <w:r>
        <w:rPr>
          <w:rFonts w:hint="eastAsia" w:ascii="黑体" w:hAnsi="黑体" w:eastAsia="黑体" w:cs="CESI仿宋-GB2312"/>
          <w:sz w:val="32"/>
          <w:szCs w:val="32"/>
        </w:rPr>
        <w:t>附件</w:t>
      </w:r>
    </w:p>
    <w:p>
      <w:pPr>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内蒙古自治区碳达峰试点旗县（区）和园区名单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01"/>
        <w:gridCol w:w="1987"/>
        <w:gridCol w:w="9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spacing w:line="240" w:lineRule="atLeast"/>
              <w:jc w:val="center"/>
              <w:rPr>
                <w:rFonts w:ascii="黑体" w:hAnsi="黑体" w:eastAsia="黑体"/>
                <w:b/>
                <w:sz w:val="28"/>
                <w:szCs w:val="28"/>
              </w:rPr>
            </w:pPr>
            <w:r>
              <w:rPr>
                <w:rFonts w:hint="eastAsia" w:ascii="黑体" w:hAnsi="黑体" w:eastAsia="黑体"/>
                <w:b/>
                <w:sz w:val="28"/>
                <w:szCs w:val="28"/>
              </w:rPr>
              <w:t>一、试点旗县（区）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tcPr>
          <w:p>
            <w:pPr>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序号</w:t>
            </w:r>
          </w:p>
        </w:tc>
        <w:tc>
          <w:tcPr>
            <w:tcW w:w="600" w:type="pct"/>
            <w:vAlign w:val="center"/>
          </w:tcPr>
          <w:p>
            <w:pPr>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盟市</w:t>
            </w:r>
          </w:p>
        </w:tc>
        <w:tc>
          <w:tcPr>
            <w:tcW w:w="701" w:type="pct"/>
          </w:tcPr>
          <w:p>
            <w:pPr>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试点名称</w:t>
            </w:r>
          </w:p>
        </w:tc>
        <w:tc>
          <w:tcPr>
            <w:tcW w:w="3411" w:type="pct"/>
            <w:vAlign w:val="center"/>
          </w:tcPr>
          <w:p>
            <w:pPr>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创建重点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p>
        </w:tc>
        <w:tc>
          <w:tcPr>
            <w:tcW w:w="600"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呼和浩特市</w:t>
            </w:r>
          </w:p>
        </w:tc>
        <w:tc>
          <w:tcPr>
            <w:tcW w:w="701"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新城区</w:t>
            </w:r>
          </w:p>
        </w:tc>
        <w:tc>
          <w:tcPr>
            <w:tcW w:w="341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立足产业基础，推动物流信息化、商贸服务绿色转型及会展低碳化，重塑生产性服务业模式；聚焦绿色算力、数字经济与电子信息制造，构建新型工业生态；深化文旅融合，探索城市可持续发展路径，构建首府低碳转型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8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2</w:t>
            </w:r>
          </w:p>
        </w:tc>
        <w:tc>
          <w:tcPr>
            <w:tcW w:w="600" w:type="pct"/>
            <w:vMerge w:val="continue"/>
            <w:vAlign w:val="center"/>
          </w:tcPr>
          <w:p>
            <w:pPr>
              <w:spacing w:line="240" w:lineRule="atLeast"/>
              <w:jc w:val="center"/>
              <w:rPr>
                <w:rFonts w:ascii="Times New Roman" w:hAnsi="Times New Roman" w:eastAsia="仿宋_GB2312"/>
                <w:sz w:val="28"/>
                <w:szCs w:val="28"/>
              </w:rPr>
            </w:pPr>
          </w:p>
        </w:tc>
        <w:tc>
          <w:tcPr>
            <w:tcW w:w="701"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清水河县</w:t>
            </w:r>
          </w:p>
        </w:tc>
        <w:tc>
          <w:tcPr>
            <w:tcW w:w="341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打造多能互补清洁能源基地，建设风电、光伏、垃圾发电等多能互补绿色能源体系，推进农光互补、牧光互补；打造黄土高原低山丘陵区低碳示范县，通过造林育草等提高林草地碳吸收能力，控制水土流失提高土壤固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3</w:t>
            </w:r>
          </w:p>
        </w:tc>
        <w:tc>
          <w:tcPr>
            <w:tcW w:w="600" w:type="pct"/>
            <w:vMerge w:val="continue"/>
            <w:vAlign w:val="center"/>
          </w:tcPr>
          <w:p>
            <w:pPr>
              <w:spacing w:line="240" w:lineRule="atLeast"/>
              <w:jc w:val="center"/>
              <w:rPr>
                <w:rFonts w:ascii="Times New Roman" w:hAnsi="Times New Roman" w:eastAsia="仿宋_GB2312"/>
                <w:sz w:val="28"/>
                <w:szCs w:val="28"/>
              </w:rPr>
            </w:pPr>
          </w:p>
        </w:tc>
        <w:tc>
          <w:tcPr>
            <w:tcW w:w="701"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和林格尔县</w:t>
            </w:r>
          </w:p>
        </w:tc>
        <w:tc>
          <w:tcPr>
            <w:tcW w:w="341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围绕发挥和林格尔新区建设和新机场建成投运辐射作用，紧扣打造全区乳业发展排头兵、数字经济发展新样板、绿色生态发展示范区、首府向南发展承接地和市民休闲旅游后花园“五个定位”，建设全国充换电站设施补短板试点示范和市级首批碳汇交易试点，实施 7大碳达峰重点工程，积极探索首府周边县级城市碳达峰路径。</w:t>
            </w:r>
          </w:p>
        </w:tc>
      </w:tr>
    </w:tbl>
    <w:p>
      <w:pPr>
        <w:rPr>
          <w:rFonts w:ascii="华文中宋" w:hAnsi="华文中宋" w:eastAsia="华文中宋" w:cs="华文中宋"/>
          <w:sz w:val="36"/>
          <w:szCs w:val="36"/>
        </w:rPr>
      </w:pPr>
    </w:p>
    <w:tbl>
      <w:tblPr>
        <w:tblStyle w:val="10"/>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692"/>
        <w:gridCol w:w="1975"/>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5" w:type="pct"/>
            <w:vAlign w:val="center"/>
          </w:tcPr>
          <w:p>
            <w:pPr>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序号</w:t>
            </w:r>
          </w:p>
        </w:tc>
        <w:tc>
          <w:tcPr>
            <w:tcW w:w="608" w:type="pct"/>
            <w:vAlign w:val="center"/>
          </w:tcPr>
          <w:p>
            <w:pPr>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盟市</w:t>
            </w:r>
          </w:p>
        </w:tc>
        <w:tc>
          <w:tcPr>
            <w:tcW w:w="710" w:type="pct"/>
            <w:vAlign w:val="center"/>
          </w:tcPr>
          <w:p>
            <w:pPr>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试点名称</w:t>
            </w:r>
          </w:p>
        </w:tc>
        <w:tc>
          <w:tcPr>
            <w:tcW w:w="3395" w:type="pct"/>
            <w:vAlign w:val="center"/>
          </w:tcPr>
          <w:p>
            <w:pPr>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创建重点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4</w:t>
            </w:r>
          </w:p>
        </w:tc>
        <w:tc>
          <w:tcPr>
            <w:tcW w:w="608"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包头市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达尔罕茂明安联合旗</w:t>
            </w:r>
          </w:p>
        </w:tc>
        <w:tc>
          <w:tcPr>
            <w:tcW w:w="3395"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实施“1+N”碳达峰路径探索，即以建设零碳园区为核心，进行能源、工业、交通、建筑等领域碳达峰路径探索，把碳达峰、碳中和纳入经济社会发展全局和生态文明建设整体布局，稳妥有序做好碳达峰各项工作，加快实现生产生活方式绿色变革，将达尔罕茂明</w:t>
            </w:r>
            <w:bookmarkStart w:id="0" w:name="_GoBack"/>
            <w:bookmarkEnd w:id="0"/>
            <w:r>
              <w:rPr>
                <w:rFonts w:hint="eastAsia" w:ascii="Times New Roman" w:hAnsi="Times New Roman" w:eastAsia="仿宋_GB2312"/>
                <w:sz w:val="28"/>
                <w:szCs w:val="28"/>
              </w:rPr>
              <w:t>安联合旗建设成为全国绿色低碳典型示范区。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5</w:t>
            </w:r>
          </w:p>
        </w:tc>
        <w:tc>
          <w:tcPr>
            <w:tcW w:w="608" w:type="pct"/>
            <w:vMerge w:val="continue"/>
            <w:vAlign w:val="center"/>
          </w:tcPr>
          <w:p>
            <w:pPr>
              <w:spacing w:line="240" w:lineRule="atLeast"/>
              <w:jc w:val="center"/>
              <w:rPr>
                <w:rFonts w:ascii="Times New Roman" w:hAnsi="Times New Roman" w:eastAsia="仿宋_GB2312"/>
                <w:sz w:val="28"/>
                <w:szCs w:val="28"/>
              </w:rPr>
            </w:pPr>
          </w:p>
        </w:tc>
        <w:tc>
          <w:tcPr>
            <w:tcW w:w="71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白云鄂博矿区</w:t>
            </w:r>
          </w:p>
        </w:tc>
        <w:tc>
          <w:tcPr>
            <w:tcW w:w="3395"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发挥全域协同的优势，以矿产资源采选、稀土深加工、固废循环利用为重点开展节能、减排、提效，同步在碳排放双控、碳足迹认证、碳信用清单、绿电追溯等薄弱环节探索务实管用举措。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6</w:t>
            </w:r>
          </w:p>
        </w:tc>
        <w:tc>
          <w:tcPr>
            <w:tcW w:w="60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呼伦贝尔市</w:t>
            </w:r>
          </w:p>
        </w:tc>
        <w:tc>
          <w:tcPr>
            <w:tcW w:w="71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陈巴尔虎旗</w:t>
            </w:r>
          </w:p>
        </w:tc>
        <w:tc>
          <w:tcPr>
            <w:tcW w:w="3395"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立足陈巴尔虎旗风光资源禀赋与生态碳汇优势，突出“风光资源开发 + 生态系统修复 + 碳汇价值转化”，建设风光储一体化清洁能源基地，率先开展营造林增汇成效动态监测与价值评估，探索林草碳汇产品价值实现路径。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7</w:t>
            </w:r>
          </w:p>
        </w:tc>
        <w:tc>
          <w:tcPr>
            <w:tcW w:w="60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通辽市</w:t>
            </w:r>
          </w:p>
        </w:tc>
        <w:tc>
          <w:tcPr>
            <w:tcW w:w="71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霍林郭勒市</w:t>
            </w:r>
          </w:p>
        </w:tc>
        <w:tc>
          <w:tcPr>
            <w:tcW w:w="3395"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立足煤电绿电多能互补优势，打造铝及铝精深加工为主体的铝基新材料高载能低排放千亿产业绿色发展示范区，实现从“煤电铝之城”到“绿电铝之城”的快速转变。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8</w:t>
            </w:r>
          </w:p>
        </w:tc>
        <w:tc>
          <w:tcPr>
            <w:tcW w:w="60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赤峰市</w:t>
            </w:r>
          </w:p>
        </w:tc>
        <w:tc>
          <w:tcPr>
            <w:tcW w:w="71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松山区</w:t>
            </w:r>
          </w:p>
        </w:tc>
        <w:tc>
          <w:tcPr>
            <w:tcW w:w="3395"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以新能源产业化和产业新能源化为路径，组织实施好工业强基倍增工程、园区“绿能岛”建设工程、重点用能单位绿色低碳转型工程、交通和建筑领域新能源化促进工程、“绿动乡村”建设等重点工程，全面完成碳达峰试点建设目标指标任务，将松山区建成工业经济快速发展的承载区、绿色低碳转型的先行区、承接国家产业转移的绿色高效示范区。</w:t>
            </w:r>
          </w:p>
        </w:tc>
      </w:tr>
    </w:tbl>
    <w:p>
      <w:pPr>
        <w:rPr>
          <w:rFonts w:ascii="华文中宋" w:hAnsi="华文中宋" w:eastAsia="华文中宋" w:cs="华文中宋"/>
          <w:sz w:val="36"/>
          <w:szCs w:val="36"/>
        </w:rPr>
      </w:pPr>
    </w:p>
    <w:tbl>
      <w:tblPr>
        <w:tblStyle w:val="10"/>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691"/>
        <w:gridCol w:w="1975"/>
        <w:gridCol w:w="9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9</w:t>
            </w:r>
          </w:p>
        </w:tc>
        <w:tc>
          <w:tcPr>
            <w:tcW w:w="60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锡林郭勒盟</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太仆寺旗</w:t>
            </w:r>
          </w:p>
        </w:tc>
        <w:tc>
          <w:tcPr>
            <w:tcW w:w="3400"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立足风能、光能资源优势，大力推进“绿电”替代工程，积极发展新能源、优化能源结构。通过培育壮大绿电用能产业，推行绿色制造，加快重点产业以及重点园区的绿色低碳转型和高质量发展。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0</w:t>
            </w:r>
          </w:p>
        </w:tc>
        <w:tc>
          <w:tcPr>
            <w:tcW w:w="60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鄂尔多斯市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康巴什区</w:t>
            </w:r>
          </w:p>
        </w:tc>
        <w:tc>
          <w:tcPr>
            <w:tcW w:w="3400"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围绕建设绿色高质量低碳城区建设中心目标，坚持“4个城市”战略定位，建设全国第二批智能交通先导试点示范、可再生能源的城市核心区新型电力系统示范、国家再生水利用配置试点城市3个试点示范，打造碳达峰试点城市“内蒙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240" w:lineRule="atLeast"/>
              <w:jc w:val="center"/>
              <w:rPr>
                <w:rFonts w:ascii="Times New Roman" w:hAnsi="Times New Roman" w:eastAsia="仿宋_GB2312"/>
                <w:sz w:val="28"/>
                <w:szCs w:val="28"/>
              </w:rPr>
            </w:pPr>
            <w:r>
              <w:rPr>
                <w:rFonts w:hint="eastAsia" w:ascii="黑体" w:hAnsi="黑体" w:eastAsia="黑体"/>
                <w:b/>
                <w:sz w:val="28"/>
                <w:szCs w:val="28"/>
              </w:rPr>
              <w:t>二、试点园区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p>
        </w:tc>
        <w:tc>
          <w:tcPr>
            <w:tcW w:w="608" w:type="pct"/>
            <w:vMerge w:val="restart"/>
            <w:vAlign w:val="center"/>
          </w:tcPr>
          <w:p>
            <w:pPr>
              <w:spacing w:line="240" w:lineRule="atLeast"/>
              <w:rPr>
                <w:rFonts w:ascii="Times New Roman" w:hAnsi="Times New Roman" w:eastAsia="仿宋_GB2312"/>
                <w:sz w:val="28"/>
                <w:szCs w:val="28"/>
              </w:rPr>
            </w:pPr>
            <w:r>
              <w:rPr>
                <w:rFonts w:hint="eastAsia" w:ascii="Times New Roman" w:hAnsi="Times New Roman" w:eastAsia="仿宋_GB2312"/>
                <w:sz w:val="28"/>
                <w:szCs w:val="28"/>
              </w:rPr>
              <w:t>呼和浩特市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呼和浩特经济技术开发区</w:t>
            </w:r>
          </w:p>
        </w:tc>
        <w:tc>
          <w:tcPr>
            <w:tcW w:w="3400"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围绕生物医药、新能源新材料、装备制造三大主导产业，积极谋篇布局未来产业，形成产业集聚效应，实现产业链上下游之间的耦合发展，推动能源资源高效利用，以绿电消费为引领，探索零碳园区建设路径。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2</w:t>
            </w:r>
          </w:p>
        </w:tc>
        <w:tc>
          <w:tcPr>
            <w:tcW w:w="608" w:type="pct"/>
            <w:vMerge w:val="continue"/>
            <w:tcBorders/>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和林格尔乳业开发区</w:t>
            </w:r>
          </w:p>
        </w:tc>
        <w:tc>
          <w:tcPr>
            <w:tcW w:w="3400"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以绿色食品加工业、玻纤等新材料产业为核心，构建低碳高效产业样板区，依托龙头企业打造乳制品绿色供应链标杆，推动废弃物资源化利用和清洁能源替代。围绕重点企业创建“零碳”工厂，通过工艺革新和碳足迹管理实现全流程减排，形成可复制的园区绿色发展模式。</w:t>
            </w:r>
          </w:p>
        </w:tc>
      </w:tr>
    </w:tbl>
    <w:p>
      <w:pPr>
        <w:rPr>
          <w:rFonts w:ascii="华文中宋" w:hAnsi="华文中宋" w:eastAsia="华文中宋" w:cs="华文中宋"/>
          <w:sz w:val="36"/>
          <w:szCs w:val="36"/>
        </w:rPr>
      </w:pPr>
    </w:p>
    <w:p>
      <w:pPr>
        <w:rPr>
          <w:rFonts w:ascii="华文中宋" w:hAnsi="华文中宋" w:eastAsia="华文中宋" w:cs="华文中宋"/>
          <w:sz w:val="36"/>
          <w:szCs w:val="36"/>
        </w:rPr>
      </w:pPr>
    </w:p>
    <w:tbl>
      <w:tblPr>
        <w:tblStyle w:val="10"/>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692"/>
        <w:gridCol w:w="1975"/>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3</w:t>
            </w:r>
          </w:p>
        </w:tc>
        <w:tc>
          <w:tcPr>
            <w:tcW w:w="608"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呼和浩特市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敕勒川乳业开发区</w:t>
            </w:r>
          </w:p>
        </w:tc>
        <w:tc>
          <w:tcPr>
            <w:tcW w:w="3399"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以乳业、新材料、装备制造产业低碳转型为核心，聚焦可再生能源规模化利用（如分布式光伏、微电网）、乳业全产业链绿色升级（节能技术推广、绿色包装革新），通过技术创新驱动与碳排放智能管控体系构建，打造产业结构优化、能源清洁高效、可复制推广的碳达峰示范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4</w:t>
            </w:r>
          </w:p>
        </w:tc>
        <w:tc>
          <w:tcPr>
            <w:tcW w:w="608" w:type="pct"/>
            <w:vMerge w:val="continue"/>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金山高新技术产业开发区（金桥产业园）</w:t>
            </w:r>
          </w:p>
        </w:tc>
        <w:tc>
          <w:tcPr>
            <w:tcW w:w="3399"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全力推进源网荷储一体化建设，积极探索能源清洁利用新模式；聚焦石化、新材料，打造产业前沿高地；激励科技创新，筑牢数字根基，构建高效创新体系；健全碳排放数据管理机制，塑造近零碳园区示范样板。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5</w:t>
            </w:r>
          </w:p>
        </w:tc>
        <w:tc>
          <w:tcPr>
            <w:tcW w:w="608"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包头市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稀土高新技术产业开发区</w:t>
            </w:r>
          </w:p>
        </w:tc>
        <w:tc>
          <w:tcPr>
            <w:tcW w:w="3399"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以建设“两个稀土基地”为主线，聚焦“4场景+7任务”，拓展氢储能源转型路径，推进碳足迹认证与碳核算平台建设，深化清洁生产审核试点，探索“稀土+”绿色低碳发展新模式。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6</w:t>
            </w:r>
          </w:p>
        </w:tc>
        <w:tc>
          <w:tcPr>
            <w:tcW w:w="608" w:type="pct"/>
            <w:vMerge w:val="continue"/>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包头金山经济开发区</w:t>
            </w:r>
          </w:p>
        </w:tc>
        <w:tc>
          <w:tcPr>
            <w:tcW w:w="3399"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围绕新材料、新能源、新质生产力、资源循环利用产业，依托风光资源禀赋，提高可再生能源利用率，推动产业结构转型升级及资源循环利用，构建“绿电替代+循环降碳”发展路径，实现低碳转型示范。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7</w:t>
            </w:r>
          </w:p>
        </w:tc>
        <w:tc>
          <w:tcPr>
            <w:tcW w:w="60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呼伦贝尔市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呼伦贝尔经济技术开发区</w:t>
            </w:r>
          </w:p>
        </w:tc>
        <w:tc>
          <w:tcPr>
            <w:tcW w:w="3399"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依托周边丰富的风电光伏和生物质资源，大力发展风光制氢氨醇一体化项目，聚焦能源转型与产业结构调整，开展节能降碳行动，稳步构建以清洁能源为支撑、低碳产业为核心的绿色产业发展体系，因地制宜建设多能互补的碳达峰典范园区。</w:t>
            </w:r>
          </w:p>
        </w:tc>
      </w:tr>
    </w:tbl>
    <w:p>
      <w:pPr>
        <w:rPr>
          <w:rFonts w:ascii="华文中宋" w:hAnsi="华文中宋" w:eastAsia="华文中宋" w:cs="华文中宋"/>
          <w:sz w:val="36"/>
          <w:szCs w:val="36"/>
        </w:rPr>
      </w:pPr>
    </w:p>
    <w:tbl>
      <w:tblPr>
        <w:tblStyle w:val="10"/>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1"/>
        <w:gridCol w:w="1975"/>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8</w:t>
            </w:r>
          </w:p>
        </w:tc>
        <w:tc>
          <w:tcPr>
            <w:tcW w:w="60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通辽市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霍林郭勒高新技术产业开发区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基于霍林郭勒高新区产业特点，聚焦铝基新材料产业重点领域，构建新型电力系统，推进新能源高效利用。以数字化、智能化赋能节能低碳管理，探索多元化产业绿色低碳转型路径。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9</w:t>
            </w:r>
          </w:p>
        </w:tc>
        <w:tc>
          <w:tcPr>
            <w:tcW w:w="608"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赤峰市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赤峰敖汉工业园区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以产业发展低碳化、能源供给零碳化、基础设施集约化、资源利用循环化、运营管理数智化为目标导向，组织实施工业强基倍增工程、新能源全域化开发利用工程、低零碳企业建设工程、水资源梯级利用和耦合利用工程、园区资源集约化利用等重点工程建设源网荷储充一体化等重点项目，实现碳达峰试点园区建设全部目标指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0</w:t>
            </w:r>
          </w:p>
        </w:tc>
        <w:tc>
          <w:tcPr>
            <w:tcW w:w="608"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锡林郭勒盟</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锡林郭勒经济技术开发区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围绕能源装备制造、农畜产品加工等主导产业，聚焦能源绿色转型、循环经济升级和绿色品牌培育，提升能源清洁化利用效率，拓展新能源电力应用场景，培育壮大战略性新兴产业，探索园区绿色低碳发展路径。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1</w:t>
            </w:r>
          </w:p>
        </w:tc>
        <w:tc>
          <w:tcPr>
            <w:tcW w:w="608" w:type="pct"/>
            <w:vMerge w:val="continue"/>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白音华经济开发区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围绕能源化工、冶金等主导产业，发展战略性新兴产业项目，推动能源高效利用，提高可再生能源应用比重，建设智慧低碳管理平台，探索园区绿色低碳发展模式。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2</w:t>
            </w:r>
          </w:p>
        </w:tc>
        <w:tc>
          <w:tcPr>
            <w:tcW w:w="608"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乌兰察布市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卓资经济开发区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在园区资源高水平循环化利用的基础上，重点推进能源清洁化、提升能源利用效率，聚焦主导行业绿色低碳转型、优化园区产业结构，积极引入节能环保产业和新能源产业，探索形成循环经济产业园区典型碳达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3</w:t>
            </w:r>
          </w:p>
        </w:tc>
        <w:tc>
          <w:tcPr>
            <w:tcW w:w="608" w:type="pct"/>
            <w:vMerge w:val="continue"/>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丰镇循环经济开发区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依托铁合金产业基础，通过绿能替代、技术创新、科技赋能等措施，实现铁合金产业“高、智、绿”（高端化，智能化、绿色化），探索园区绿色低碳发展新路径。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4</w:t>
            </w:r>
          </w:p>
        </w:tc>
        <w:tc>
          <w:tcPr>
            <w:tcW w:w="608"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鄂尔多斯市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蒙苏经济开发区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依托新能源装备及材料产业、高端煤化工产业，推动鄂尔多斯零碳产业园新型能源体系建设，推进工业副产氢制储加用链条，开展企业和产品碳管理能力建设，打造绿色能源、产业和技术融合的规模化高载能零碳园区实践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5</w:t>
            </w:r>
          </w:p>
        </w:tc>
        <w:tc>
          <w:tcPr>
            <w:tcW w:w="608" w:type="pct"/>
            <w:vMerge w:val="continue"/>
            <w:tcBorders/>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苏里格经济开发区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以新能源与煤化工深度耦合为核心路径，推进绿电替代、氢能耦合、CCUS等技术应用，创新固废梯级利用模式，通过机制创新、技术集成与产业协同，构建“清洁能源+低碳制造+循环利用”全链条体系，探索资源型园区碳达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6</w:t>
            </w:r>
          </w:p>
        </w:tc>
        <w:tc>
          <w:tcPr>
            <w:tcW w:w="608" w:type="pct"/>
            <w:vMerge w:val="continue"/>
            <w:tcBorders/>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鄂托克高新技术产业开发区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依托“煤、电、冶、化”四大产业集群，以能源供给绿色化和产业发展低碳化为抓手，以技术创新和制度创新为支撑，优化提升传统产业，培育壮大新兴产业，全面探索“国家西部高碳型产业园区低碳发展”的新路径，努力打造清洁能源高效利用示范区、资源循环利用示范区、减污降碳协同创新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7</w:t>
            </w:r>
          </w:p>
        </w:tc>
        <w:tc>
          <w:tcPr>
            <w:tcW w:w="608"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巴彦淖尔市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巴彦淖尔经济技术开发区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聚焦农畜产品加工业绿色低碳转型，以全产业链降碳为核心，重点推广绿色加工技术及“种养-加工-废弃物资源化”循环模式。通过绿电替代、低碳冷链建设、副产物高值利用，打造自治区首个农畜产业碳达峰示范园，形成“绿电+循环经济+清洁加工”农牧融合低碳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8</w:t>
            </w:r>
          </w:p>
        </w:tc>
        <w:tc>
          <w:tcPr>
            <w:tcW w:w="608" w:type="pct"/>
            <w:vMerge w:val="continue"/>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甘其毛都口岸加工园区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发挥乌拉特中旗可再生能源丰富优势，推动新能源与园区产业深度融合，打造五大“新能源+”产业集群，延长园区产业链，推动产品结构升级，加速企业能效升级改造，探索园区绿色低碳转型新路径。</w:t>
            </w:r>
          </w:p>
        </w:tc>
      </w:tr>
    </w:tbl>
    <w:p>
      <w:pPr>
        <w:rPr>
          <w:rFonts w:ascii="华文中宋" w:hAnsi="华文中宋" w:eastAsia="华文中宋" w:cs="华文中宋"/>
          <w:sz w:val="36"/>
          <w:szCs w:val="36"/>
        </w:rPr>
      </w:pPr>
    </w:p>
    <w:tbl>
      <w:tblPr>
        <w:tblStyle w:val="10"/>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1"/>
        <w:gridCol w:w="1975"/>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9</w:t>
            </w:r>
          </w:p>
        </w:tc>
        <w:tc>
          <w:tcPr>
            <w:tcW w:w="608" w:type="pct"/>
            <w:vMerge w:val="restar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乌海市</w:t>
            </w: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高新技术产业开发区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围绕化工、新材料和装备制造等主导产业，着力打造风光氢储用一体的新能源产业链，发展以可降解塑料为主要方向的新材料全产业链基地，从能源低碳转型、产业高质量发展、基础设施低碳建设等方面探索高载能园区碳达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Align w:val="center"/>
          </w:tcPr>
          <w:p>
            <w:pPr>
              <w:spacing w:line="240" w:lineRule="atLeast"/>
              <w:jc w:val="center"/>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0</w:t>
            </w:r>
          </w:p>
        </w:tc>
        <w:tc>
          <w:tcPr>
            <w:tcW w:w="608" w:type="pct"/>
            <w:vMerge w:val="continue"/>
            <w:tcBorders/>
            <w:vAlign w:val="center"/>
          </w:tcPr>
          <w:p>
            <w:pPr>
              <w:spacing w:line="240" w:lineRule="atLeast"/>
              <w:jc w:val="center"/>
              <w:rPr>
                <w:rFonts w:ascii="Times New Roman" w:hAnsi="Times New Roman" w:eastAsia="仿宋_GB2312"/>
                <w:sz w:val="28"/>
                <w:szCs w:val="28"/>
              </w:rPr>
            </w:pPr>
          </w:p>
        </w:tc>
        <w:tc>
          <w:tcPr>
            <w:tcW w:w="710" w:type="pct"/>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海南高新技术产业开发区</w:t>
            </w:r>
          </w:p>
        </w:tc>
        <w:tc>
          <w:tcPr>
            <w:tcW w:w="3401" w:type="pct"/>
            <w:vAlign w:val="center"/>
          </w:tcPr>
          <w:p>
            <w:pPr>
              <w:snapToGrid w:val="0"/>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围绕煤化工、氯碱化工、精细化工、碳基新材料等主导产业，通过低碳技术创新和应用，推动能源结构优化和产业绿色转型。按照“横向耦合、纵向延伸、循环链接”的原则，构建循环经济产业链网，积极探索氢能在多场景中的应用。</w:t>
            </w:r>
          </w:p>
        </w:tc>
      </w:tr>
    </w:tbl>
    <w:p>
      <w:pPr>
        <w:rPr>
          <w:rFonts w:ascii="华文中宋" w:hAnsi="华文中宋" w:eastAsia="华文中宋" w:cs="华文中宋"/>
          <w:sz w:val="36"/>
          <w:szCs w:val="36"/>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PAGE  \* MERGEFORMAT </w:instrText>
                          </w:r>
                          <w:r>
                            <w:rPr>
                              <w:rFonts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PAGE  \* MERGEFORMAT </w:instrText>
                    </w:r>
                    <w:r>
                      <w:rPr>
                        <w:rFonts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0ZTU4MzA5MDkyNWNjNmEzOTlhZjY1NmY4ZmM2YWEifQ=="/>
  </w:docVars>
  <w:rsids>
    <w:rsidRoot w:val="139F5A52"/>
    <w:rsid w:val="0000123C"/>
    <w:rsid w:val="0000386B"/>
    <w:rsid w:val="000053E2"/>
    <w:rsid w:val="00007C57"/>
    <w:rsid w:val="000113E2"/>
    <w:rsid w:val="00011890"/>
    <w:rsid w:val="0001294A"/>
    <w:rsid w:val="0001366C"/>
    <w:rsid w:val="00013792"/>
    <w:rsid w:val="00013E3D"/>
    <w:rsid w:val="00016CAC"/>
    <w:rsid w:val="00020AE9"/>
    <w:rsid w:val="00020D5F"/>
    <w:rsid w:val="00022375"/>
    <w:rsid w:val="00022BA4"/>
    <w:rsid w:val="00027C83"/>
    <w:rsid w:val="000332DC"/>
    <w:rsid w:val="00035168"/>
    <w:rsid w:val="0003644B"/>
    <w:rsid w:val="00037AA8"/>
    <w:rsid w:val="000443C1"/>
    <w:rsid w:val="00045BA2"/>
    <w:rsid w:val="00045C34"/>
    <w:rsid w:val="00046F84"/>
    <w:rsid w:val="00054B89"/>
    <w:rsid w:val="00057E4C"/>
    <w:rsid w:val="0006150B"/>
    <w:rsid w:val="00061F28"/>
    <w:rsid w:val="00062D65"/>
    <w:rsid w:val="00064121"/>
    <w:rsid w:val="00073C2E"/>
    <w:rsid w:val="000748DD"/>
    <w:rsid w:val="00080631"/>
    <w:rsid w:val="00081122"/>
    <w:rsid w:val="0008249E"/>
    <w:rsid w:val="00082D17"/>
    <w:rsid w:val="00085453"/>
    <w:rsid w:val="000877F9"/>
    <w:rsid w:val="00096CE9"/>
    <w:rsid w:val="00096F4C"/>
    <w:rsid w:val="00097B82"/>
    <w:rsid w:val="000A054A"/>
    <w:rsid w:val="000A26C1"/>
    <w:rsid w:val="000A31F0"/>
    <w:rsid w:val="000A5B47"/>
    <w:rsid w:val="000A6FE3"/>
    <w:rsid w:val="000B10CB"/>
    <w:rsid w:val="000B692A"/>
    <w:rsid w:val="000C13E6"/>
    <w:rsid w:val="000C39A3"/>
    <w:rsid w:val="000C734D"/>
    <w:rsid w:val="000D250D"/>
    <w:rsid w:val="000D61C8"/>
    <w:rsid w:val="000D790F"/>
    <w:rsid w:val="000E3451"/>
    <w:rsid w:val="000E6862"/>
    <w:rsid w:val="000E7255"/>
    <w:rsid w:val="000F39FB"/>
    <w:rsid w:val="000F48F5"/>
    <w:rsid w:val="000F60C9"/>
    <w:rsid w:val="000F6ADC"/>
    <w:rsid w:val="000F79D0"/>
    <w:rsid w:val="00100A1A"/>
    <w:rsid w:val="00102981"/>
    <w:rsid w:val="00102E1B"/>
    <w:rsid w:val="00103191"/>
    <w:rsid w:val="0010340E"/>
    <w:rsid w:val="00110E5F"/>
    <w:rsid w:val="001110B4"/>
    <w:rsid w:val="001134F3"/>
    <w:rsid w:val="00116C11"/>
    <w:rsid w:val="00122DCB"/>
    <w:rsid w:val="0012488A"/>
    <w:rsid w:val="00130025"/>
    <w:rsid w:val="00130FBD"/>
    <w:rsid w:val="001319D4"/>
    <w:rsid w:val="001340D2"/>
    <w:rsid w:val="00135177"/>
    <w:rsid w:val="001362B1"/>
    <w:rsid w:val="00136A91"/>
    <w:rsid w:val="00137171"/>
    <w:rsid w:val="00141508"/>
    <w:rsid w:val="0014173C"/>
    <w:rsid w:val="001418D4"/>
    <w:rsid w:val="00154619"/>
    <w:rsid w:val="00161AC4"/>
    <w:rsid w:val="0016403C"/>
    <w:rsid w:val="0016488E"/>
    <w:rsid w:val="00164B09"/>
    <w:rsid w:val="00166F8F"/>
    <w:rsid w:val="00171A5C"/>
    <w:rsid w:val="001729D7"/>
    <w:rsid w:val="001757DF"/>
    <w:rsid w:val="00177AEA"/>
    <w:rsid w:val="00180936"/>
    <w:rsid w:val="001837EB"/>
    <w:rsid w:val="00184DB6"/>
    <w:rsid w:val="001860F6"/>
    <w:rsid w:val="00186E0F"/>
    <w:rsid w:val="001902EC"/>
    <w:rsid w:val="00196B7A"/>
    <w:rsid w:val="001972B7"/>
    <w:rsid w:val="001A2162"/>
    <w:rsid w:val="001A2423"/>
    <w:rsid w:val="001A5676"/>
    <w:rsid w:val="001A5FBD"/>
    <w:rsid w:val="001A6E7C"/>
    <w:rsid w:val="001B0420"/>
    <w:rsid w:val="001B2BA9"/>
    <w:rsid w:val="001B2ECF"/>
    <w:rsid w:val="001B4C73"/>
    <w:rsid w:val="001B5D26"/>
    <w:rsid w:val="001C3192"/>
    <w:rsid w:val="001C594C"/>
    <w:rsid w:val="001C6600"/>
    <w:rsid w:val="001C7AB7"/>
    <w:rsid w:val="001D033D"/>
    <w:rsid w:val="001D070F"/>
    <w:rsid w:val="001D18E6"/>
    <w:rsid w:val="001D3DFB"/>
    <w:rsid w:val="001D53F4"/>
    <w:rsid w:val="001E2680"/>
    <w:rsid w:val="001E4487"/>
    <w:rsid w:val="001E5F32"/>
    <w:rsid w:val="001E7FE4"/>
    <w:rsid w:val="001F28F3"/>
    <w:rsid w:val="001F2EB0"/>
    <w:rsid w:val="001F32BC"/>
    <w:rsid w:val="001F4C5B"/>
    <w:rsid w:val="001F6A27"/>
    <w:rsid w:val="001F6D32"/>
    <w:rsid w:val="002001B7"/>
    <w:rsid w:val="00200B22"/>
    <w:rsid w:val="00205454"/>
    <w:rsid w:val="00205947"/>
    <w:rsid w:val="00205B78"/>
    <w:rsid w:val="00206806"/>
    <w:rsid w:val="002107B1"/>
    <w:rsid w:val="00211618"/>
    <w:rsid w:val="00212DDF"/>
    <w:rsid w:val="00216730"/>
    <w:rsid w:val="002260D3"/>
    <w:rsid w:val="002263E9"/>
    <w:rsid w:val="002276D8"/>
    <w:rsid w:val="00227A06"/>
    <w:rsid w:val="00227FF5"/>
    <w:rsid w:val="00230F5E"/>
    <w:rsid w:val="002310B2"/>
    <w:rsid w:val="00233E8C"/>
    <w:rsid w:val="00234C44"/>
    <w:rsid w:val="0023584D"/>
    <w:rsid w:val="00237BB0"/>
    <w:rsid w:val="002408F7"/>
    <w:rsid w:val="00241318"/>
    <w:rsid w:val="00242226"/>
    <w:rsid w:val="0024678F"/>
    <w:rsid w:val="00246902"/>
    <w:rsid w:val="0025151F"/>
    <w:rsid w:val="00252878"/>
    <w:rsid w:val="00254DC3"/>
    <w:rsid w:val="00256908"/>
    <w:rsid w:val="00257D6E"/>
    <w:rsid w:val="00261CEA"/>
    <w:rsid w:val="0026236B"/>
    <w:rsid w:val="00266ADE"/>
    <w:rsid w:val="00267750"/>
    <w:rsid w:val="00271BEE"/>
    <w:rsid w:val="00274CA6"/>
    <w:rsid w:val="00275DE6"/>
    <w:rsid w:val="00277337"/>
    <w:rsid w:val="00281710"/>
    <w:rsid w:val="00281A20"/>
    <w:rsid w:val="002848F4"/>
    <w:rsid w:val="002926EF"/>
    <w:rsid w:val="0029326A"/>
    <w:rsid w:val="00295E52"/>
    <w:rsid w:val="00296453"/>
    <w:rsid w:val="002A3F50"/>
    <w:rsid w:val="002A41EC"/>
    <w:rsid w:val="002A6A8E"/>
    <w:rsid w:val="002A705F"/>
    <w:rsid w:val="002B102E"/>
    <w:rsid w:val="002B1190"/>
    <w:rsid w:val="002B1CC5"/>
    <w:rsid w:val="002B6B19"/>
    <w:rsid w:val="002B7812"/>
    <w:rsid w:val="002C23F5"/>
    <w:rsid w:val="002C70BC"/>
    <w:rsid w:val="002D3674"/>
    <w:rsid w:val="002D7450"/>
    <w:rsid w:val="002E052B"/>
    <w:rsid w:val="002E3563"/>
    <w:rsid w:val="002E3F09"/>
    <w:rsid w:val="002F086C"/>
    <w:rsid w:val="002F5FDA"/>
    <w:rsid w:val="003011CD"/>
    <w:rsid w:val="003029A8"/>
    <w:rsid w:val="0030469C"/>
    <w:rsid w:val="003067FC"/>
    <w:rsid w:val="003068C7"/>
    <w:rsid w:val="00310068"/>
    <w:rsid w:val="00314ABD"/>
    <w:rsid w:val="003150C4"/>
    <w:rsid w:val="003152FC"/>
    <w:rsid w:val="00315391"/>
    <w:rsid w:val="003158A5"/>
    <w:rsid w:val="00315C52"/>
    <w:rsid w:val="003171AB"/>
    <w:rsid w:val="0031796C"/>
    <w:rsid w:val="00321154"/>
    <w:rsid w:val="00323945"/>
    <w:rsid w:val="0032394B"/>
    <w:rsid w:val="003314AE"/>
    <w:rsid w:val="00332AF2"/>
    <w:rsid w:val="00335AE8"/>
    <w:rsid w:val="00335F89"/>
    <w:rsid w:val="00341FCA"/>
    <w:rsid w:val="00342099"/>
    <w:rsid w:val="00342292"/>
    <w:rsid w:val="00343F3A"/>
    <w:rsid w:val="00345FB0"/>
    <w:rsid w:val="003471DD"/>
    <w:rsid w:val="0035029A"/>
    <w:rsid w:val="0035054B"/>
    <w:rsid w:val="0035112C"/>
    <w:rsid w:val="003524B9"/>
    <w:rsid w:val="003549D9"/>
    <w:rsid w:val="00361482"/>
    <w:rsid w:val="0036280A"/>
    <w:rsid w:val="00363D47"/>
    <w:rsid w:val="00365916"/>
    <w:rsid w:val="003712AA"/>
    <w:rsid w:val="00373735"/>
    <w:rsid w:val="003745F6"/>
    <w:rsid w:val="003753FD"/>
    <w:rsid w:val="003824EB"/>
    <w:rsid w:val="00384E18"/>
    <w:rsid w:val="00391D09"/>
    <w:rsid w:val="00396234"/>
    <w:rsid w:val="00396857"/>
    <w:rsid w:val="00396BAA"/>
    <w:rsid w:val="00396EB2"/>
    <w:rsid w:val="00397E50"/>
    <w:rsid w:val="003A0DA0"/>
    <w:rsid w:val="003A2E66"/>
    <w:rsid w:val="003A3FC7"/>
    <w:rsid w:val="003A43EF"/>
    <w:rsid w:val="003A51E8"/>
    <w:rsid w:val="003A5708"/>
    <w:rsid w:val="003B38C3"/>
    <w:rsid w:val="003B7CAC"/>
    <w:rsid w:val="003C116C"/>
    <w:rsid w:val="003C2830"/>
    <w:rsid w:val="003C3506"/>
    <w:rsid w:val="003C354F"/>
    <w:rsid w:val="003C4E17"/>
    <w:rsid w:val="003C672F"/>
    <w:rsid w:val="003C7AF8"/>
    <w:rsid w:val="003D05C1"/>
    <w:rsid w:val="003D1594"/>
    <w:rsid w:val="003D385A"/>
    <w:rsid w:val="003E025C"/>
    <w:rsid w:val="003E11D7"/>
    <w:rsid w:val="003E49B2"/>
    <w:rsid w:val="003E5A19"/>
    <w:rsid w:val="003E7FCD"/>
    <w:rsid w:val="003F0C51"/>
    <w:rsid w:val="003F1A4C"/>
    <w:rsid w:val="003F2ABB"/>
    <w:rsid w:val="003F2C23"/>
    <w:rsid w:val="003F2C2F"/>
    <w:rsid w:val="003F368B"/>
    <w:rsid w:val="003F5E7D"/>
    <w:rsid w:val="003F622B"/>
    <w:rsid w:val="003F6A29"/>
    <w:rsid w:val="003F7807"/>
    <w:rsid w:val="0040605F"/>
    <w:rsid w:val="004070FE"/>
    <w:rsid w:val="00410315"/>
    <w:rsid w:val="004106CD"/>
    <w:rsid w:val="00413998"/>
    <w:rsid w:val="00414803"/>
    <w:rsid w:val="004169E5"/>
    <w:rsid w:val="00417274"/>
    <w:rsid w:val="004176CC"/>
    <w:rsid w:val="004264D0"/>
    <w:rsid w:val="00432F00"/>
    <w:rsid w:val="00433C93"/>
    <w:rsid w:val="00434085"/>
    <w:rsid w:val="00434975"/>
    <w:rsid w:val="00434979"/>
    <w:rsid w:val="004357A3"/>
    <w:rsid w:val="00436837"/>
    <w:rsid w:val="0043724F"/>
    <w:rsid w:val="00440037"/>
    <w:rsid w:val="0044114D"/>
    <w:rsid w:val="004421C5"/>
    <w:rsid w:val="00443C35"/>
    <w:rsid w:val="004443A9"/>
    <w:rsid w:val="00451286"/>
    <w:rsid w:val="00454F83"/>
    <w:rsid w:val="00460B46"/>
    <w:rsid w:val="0046106F"/>
    <w:rsid w:val="00462EB7"/>
    <w:rsid w:val="00464231"/>
    <w:rsid w:val="0046482A"/>
    <w:rsid w:val="00464B81"/>
    <w:rsid w:val="00465D5C"/>
    <w:rsid w:val="004705AB"/>
    <w:rsid w:val="0047318E"/>
    <w:rsid w:val="00475D0F"/>
    <w:rsid w:val="004800B0"/>
    <w:rsid w:val="00480353"/>
    <w:rsid w:val="00480E11"/>
    <w:rsid w:val="00481EEF"/>
    <w:rsid w:val="0048530E"/>
    <w:rsid w:val="00496087"/>
    <w:rsid w:val="00496622"/>
    <w:rsid w:val="004972F2"/>
    <w:rsid w:val="00497396"/>
    <w:rsid w:val="00497501"/>
    <w:rsid w:val="00497A13"/>
    <w:rsid w:val="004A091B"/>
    <w:rsid w:val="004A0AC2"/>
    <w:rsid w:val="004A4B99"/>
    <w:rsid w:val="004A6CAC"/>
    <w:rsid w:val="004B0BB1"/>
    <w:rsid w:val="004B1EEC"/>
    <w:rsid w:val="004B219A"/>
    <w:rsid w:val="004B2672"/>
    <w:rsid w:val="004B2E56"/>
    <w:rsid w:val="004B3FB3"/>
    <w:rsid w:val="004B5C76"/>
    <w:rsid w:val="004D3847"/>
    <w:rsid w:val="004D707F"/>
    <w:rsid w:val="004D7BE7"/>
    <w:rsid w:val="004E0654"/>
    <w:rsid w:val="004E2FAF"/>
    <w:rsid w:val="004F0E55"/>
    <w:rsid w:val="004F3D1A"/>
    <w:rsid w:val="004F71F0"/>
    <w:rsid w:val="0050039D"/>
    <w:rsid w:val="00502158"/>
    <w:rsid w:val="005029E3"/>
    <w:rsid w:val="00502AEE"/>
    <w:rsid w:val="00502CDD"/>
    <w:rsid w:val="005039F4"/>
    <w:rsid w:val="0050556B"/>
    <w:rsid w:val="00506672"/>
    <w:rsid w:val="00515A45"/>
    <w:rsid w:val="00536C86"/>
    <w:rsid w:val="00540775"/>
    <w:rsid w:val="00542761"/>
    <w:rsid w:val="00542B20"/>
    <w:rsid w:val="00542BE4"/>
    <w:rsid w:val="005472F1"/>
    <w:rsid w:val="00547FB4"/>
    <w:rsid w:val="00547FC4"/>
    <w:rsid w:val="005523C0"/>
    <w:rsid w:val="00554675"/>
    <w:rsid w:val="0055639E"/>
    <w:rsid w:val="005571AC"/>
    <w:rsid w:val="005600F4"/>
    <w:rsid w:val="00562932"/>
    <w:rsid w:val="005636FB"/>
    <w:rsid w:val="005656DE"/>
    <w:rsid w:val="005671D5"/>
    <w:rsid w:val="00570904"/>
    <w:rsid w:val="00572D75"/>
    <w:rsid w:val="0057417B"/>
    <w:rsid w:val="005751C8"/>
    <w:rsid w:val="00576DB9"/>
    <w:rsid w:val="005770D5"/>
    <w:rsid w:val="00581026"/>
    <w:rsid w:val="00583CB0"/>
    <w:rsid w:val="00590585"/>
    <w:rsid w:val="00591B1F"/>
    <w:rsid w:val="005946E5"/>
    <w:rsid w:val="005971E9"/>
    <w:rsid w:val="005A3A1F"/>
    <w:rsid w:val="005A77B3"/>
    <w:rsid w:val="005A7B46"/>
    <w:rsid w:val="005B13F4"/>
    <w:rsid w:val="005B3D06"/>
    <w:rsid w:val="005B426A"/>
    <w:rsid w:val="005B6734"/>
    <w:rsid w:val="005C08A5"/>
    <w:rsid w:val="005C22F9"/>
    <w:rsid w:val="005C3660"/>
    <w:rsid w:val="005C3DB1"/>
    <w:rsid w:val="005C4C66"/>
    <w:rsid w:val="005C7908"/>
    <w:rsid w:val="005C7E50"/>
    <w:rsid w:val="005D0BAD"/>
    <w:rsid w:val="005D3B76"/>
    <w:rsid w:val="005D3BE8"/>
    <w:rsid w:val="005D454D"/>
    <w:rsid w:val="005D7C45"/>
    <w:rsid w:val="005D7CB2"/>
    <w:rsid w:val="005E2D3F"/>
    <w:rsid w:val="005E2D61"/>
    <w:rsid w:val="005E3586"/>
    <w:rsid w:val="005E3AE2"/>
    <w:rsid w:val="005F4224"/>
    <w:rsid w:val="005F6CC5"/>
    <w:rsid w:val="005F7767"/>
    <w:rsid w:val="00601235"/>
    <w:rsid w:val="00603DF1"/>
    <w:rsid w:val="00606AA9"/>
    <w:rsid w:val="00612E14"/>
    <w:rsid w:val="00616A9F"/>
    <w:rsid w:val="006239DF"/>
    <w:rsid w:val="006347B5"/>
    <w:rsid w:val="00640C3C"/>
    <w:rsid w:val="00640E15"/>
    <w:rsid w:val="00641A20"/>
    <w:rsid w:val="00645172"/>
    <w:rsid w:val="00651AED"/>
    <w:rsid w:val="00657F4A"/>
    <w:rsid w:val="00661AEE"/>
    <w:rsid w:val="00662FBB"/>
    <w:rsid w:val="00665D72"/>
    <w:rsid w:val="00673AC7"/>
    <w:rsid w:val="00676CA5"/>
    <w:rsid w:val="00677493"/>
    <w:rsid w:val="00677842"/>
    <w:rsid w:val="00680D42"/>
    <w:rsid w:val="00681C1B"/>
    <w:rsid w:val="006822B3"/>
    <w:rsid w:val="006847C7"/>
    <w:rsid w:val="0068636F"/>
    <w:rsid w:val="00686DF1"/>
    <w:rsid w:val="0069401E"/>
    <w:rsid w:val="00694A79"/>
    <w:rsid w:val="00696360"/>
    <w:rsid w:val="006A0449"/>
    <w:rsid w:val="006A138C"/>
    <w:rsid w:val="006A378D"/>
    <w:rsid w:val="006A41CC"/>
    <w:rsid w:val="006A5D5C"/>
    <w:rsid w:val="006A6A7C"/>
    <w:rsid w:val="006B40AF"/>
    <w:rsid w:val="006B42B9"/>
    <w:rsid w:val="006B7048"/>
    <w:rsid w:val="006C0506"/>
    <w:rsid w:val="006C08D9"/>
    <w:rsid w:val="006C1352"/>
    <w:rsid w:val="006D01C9"/>
    <w:rsid w:val="006D1333"/>
    <w:rsid w:val="006D329F"/>
    <w:rsid w:val="006D4671"/>
    <w:rsid w:val="006D4AA8"/>
    <w:rsid w:val="006E51FA"/>
    <w:rsid w:val="006F4CBC"/>
    <w:rsid w:val="006F6966"/>
    <w:rsid w:val="006F6E27"/>
    <w:rsid w:val="0070163D"/>
    <w:rsid w:val="00702682"/>
    <w:rsid w:val="007042F3"/>
    <w:rsid w:val="00705406"/>
    <w:rsid w:val="00707AEB"/>
    <w:rsid w:val="00721FDF"/>
    <w:rsid w:val="00722015"/>
    <w:rsid w:val="00723C8B"/>
    <w:rsid w:val="00726E8F"/>
    <w:rsid w:val="00726F84"/>
    <w:rsid w:val="00727085"/>
    <w:rsid w:val="00734A77"/>
    <w:rsid w:val="00734F2A"/>
    <w:rsid w:val="0073674B"/>
    <w:rsid w:val="00745445"/>
    <w:rsid w:val="00745B45"/>
    <w:rsid w:val="0074734E"/>
    <w:rsid w:val="00747C48"/>
    <w:rsid w:val="00754A27"/>
    <w:rsid w:val="00754B6E"/>
    <w:rsid w:val="007556DF"/>
    <w:rsid w:val="007567D0"/>
    <w:rsid w:val="00756C6E"/>
    <w:rsid w:val="0075789B"/>
    <w:rsid w:val="00767022"/>
    <w:rsid w:val="00771345"/>
    <w:rsid w:val="00780000"/>
    <w:rsid w:val="00783FAB"/>
    <w:rsid w:val="00785881"/>
    <w:rsid w:val="00785E05"/>
    <w:rsid w:val="007870BD"/>
    <w:rsid w:val="00787254"/>
    <w:rsid w:val="0079072B"/>
    <w:rsid w:val="00790AEE"/>
    <w:rsid w:val="00791074"/>
    <w:rsid w:val="0079316D"/>
    <w:rsid w:val="00797C49"/>
    <w:rsid w:val="007A025B"/>
    <w:rsid w:val="007A43A3"/>
    <w:rsid w:val="007A50B5"/>
    <w:rsid w:val="007B0C7C"/>
    <w:rsid w:val="007B2E2E"/>
    <w:rsid w:val="007B3405"/>
    <w:rsid w:val="007B5336"/>
    <w:rsid w:val="007C223F"/>
    <w:rsid w:val="007C586F"/>
    <w:rsid w:val="007D17A8"/>
    <w:rsid w:val="007D2176"/>
    <w:rsid w:val="007D477F"/>
    <w:rsid w:val="007D5041"/>
    <w:rsid w:val="007D6C65"/>
    <w:rsid w:val="007E2815"/>
    <w:rsid w:val="007E3283"/>
    <w:rsid w:val="007E376A"/>
    <w:rsid w:val="007E483C"/>
    <w:rsid w:val="007E5D46"/>
    <w:rsid w:val="007F0C28"/>
    <w:rsid w:val="007F0F0C"/>
    <w:rsid w:val="007F1B94"/>
    <w:rsid w:val="007F3427"/>
    <w:rsid w:val="007F3742"/>
    <w:rsid w:val="007F47BB"/>
    <w:rsid w:val="00801979"/>
    <w:rsid w:val="00802AC7"/>
    <w:rsid w:val="008076C3"/>
    <w:rsid w:val="00807F46"/>
    <w:rsid w:val="00810D03"/>
    <w:rsid w:val="0081180C"/>
    <w:rsid w:val="008119C3"/>
    <w:rsid w:val="00816190"/>
    <w:rsid w:val="00824BA9"/>
    <w:rsid w:val="00824D3E"/>
    <w:rsid w:val="008270CD"/>
    <w:rsid w:val="00827C28"/>
    <w:rsid w:val="00830A28"/>
    <w:rsid w:val="00831F8F"/>
    <w:rsid w:val="008321E3"/>
    <w:rsid w:val="00832691"/>
    <w:rsid w:val="00833892"/>
    <w:rsid w:val="00836509"/>
    <w:rsid w:val="00841281"/>
    <w:rsid w:val="00844640"/>
    <w:rsid w:val="00850935"/>
    <w:rsid w:val="008528D3"/>
    <w:rsid w:val="00853CA9"/>
    <w:rsid w:val="00853DF3"/>
    <w:rsid w:val="00860C94"/>
    <w:rsid w:val="00862ED3"/>
    <w:rsid w:val="00867B9F"/>
    <w:rsid w:val="00872A65"/>
    <w:rsid w:val="00873C6B"/>
    <w:rsid w:val="00876EEC"/>
    <w:rsid w:val="00880BFD"/>
    <w:rsid w:val="00882506"/>
    <w:rsid w:val="00882864"/>
    <w:rsid w:val="00885BEA"/>
    <w:rsid w:val="00886AF7"/>
    <w:rsid w:val="00887940"/>
    <w:rsid w:val="00890103"/>
    <w:rsid w:val="008902B2"/>
    <w:rsid w:val="00895103"/>
    <w:rsid w:val="00895C8D"/>
    <w:rsid w:val="00897B63"/>
    <w:rsid w:val="00897D74"/>
    <w:rsid w:val="00897DEE"/>
    <w:rsid w:val="008A1F64"/>
    <w:rsid w:val="008B1DDD"/>
    <w:rsid w:val="008B23C3"/>
    <w:rsid w:val="008B4C94"/>
    <w:rsid w:val="008B5B0F"/>
    <w:rsid w:val="008B5B70"/>
    <w:rsid w:val="008C0DBF"/>
    <w:rsid w:val="008C311D"/>
    <w:rsid w:val="008C6B02"/>
    <w:rsid w:val="008C7C23"/>
    <w:rsid w:val="008D4136"/>
    <w:rsid w:val="008D4171"/>
    <w:rsid w:val="008D4500"/>
    <w:rsid w:val="008D49C5"/>
    <w:rsid w:val="008D4DED"/>
    <w:rsid w:val="008D5656"/>
    <w:rsid w:val="008E38AB"/>
    <w:rsid w:val="008E3D72"/>
    <w:rsid w:val="008E586D"/>
    <w:rsid w:val="008E63AA"/>
    <w:rsid w:val="008E6CF1"/>
    <w:rsid w:val="008F2C8E"/>
    <w:rsid w:val="008F4F8C"/>
    <w:rsid w:val="008F7FE8"/>
    <w:rsid w:val="00900FBC"/>
    <w:rsid w:val="00901108"/>
    <w:rsid w:val="009016AB"/>
    <w:rsid w:val="009030E6"/>
    <w:rsid w:val="00903353"/>
    <w:rsid w:val="00905ABA"/>
    <w:rsid w:val="00907938"/>
    <w:rsid w:val="00911011"/>
    <w:rsid w:val="0091233A"/>
    <w:rsid w:val="00915ECB"/>
    <w:rsid w:val="00916A22"/>
    <w:rsid w:val="00917756"/>
    <w:rsid w:val="009249F0"/>
    <w:rsid w:val="00925CC5"/>
    <w:rsid w:val="00927E8F"/>
    <w:rsid w:val="00934A21"/>
    <w:rsid w:val="009355C4"/>
    <w:rsid w:val="00935A04"/>
    <w:rsid w:val="009367AA"/>
    <w:rsid w:val="009407A5"/>
    <w:rsid w:val="009417EE"/>
    <w:rsid w:val="009444BD"/>
    <w:rsid w:val="009447BF"/>
    <w:rsid w:val="0095188A"/>
    <w:rsid w:val="00951979"/>
    <w:rsid w:val="009522E5"/>
    <w:rsid w:val="00955CEC"/>
    <w:rsid w:val="00960F15"/>
    <w:rsid w:val="0096257A"/>
    <w:rsid w:val="00965693"/>
    <w:rsid w:val="00966D6E"/>
    <w:rsid w:val="0096769E"/>
    <w:rsid w:val="00971F22"/>
    <w:rsid w:val="00974285"/>
    <w:rsid w:val="009746C7"/>
    <w:rsid w:val="0097629A"/>
    <w:rsid w:val="00981EBD"/>
    <w:rsid w:val="009822D5"/>
    <w:rsid w:val="00982981"/>
    <w:rsid w:val="0098549C"/>
    <w:rsid w:val="00985AD6"/>
    <w:rsid w:val="0099644D"/>
    <w:rsid w:val="009A05AA"/>
    <w:rsid w:val="009A0A12"/>
    <w:rsid w:val="009A1383"/>
    <w:rsid w:val="009A1E78"/>
    <w:rsid w:val="009A1FF8"/>
    <w:rsid w:val="009A7FEA"/>
    <w:rsid w:val="009B112E"/>
    <w:rsid w:val="009B2A56"/>
    <w:rsid w:val="009B2CB5"/>
    <w:rsid w:val="009B38D2"/>
    <w:rsid w:val="009B4B21"/>
    <w:rsid w:val="009C1D74"/>
    <w:rsid w:val="009C2A42"/>
    <w:rsid w:val="009C4158"/>
    <w:rsid w:val="009C5E01"/>
    <w:rsid w:val="009C7BC0"/>
    <w:rsid w:val="009D0A4C"/>
    <w:rsid w:val="009D17B2"/>
    <w:rsid w:val="009D30D7"/>
    <w:rsid w:val="009D4451"/>
    <w:rsid w:val="009D610D"/>
    <w:rsid w:val="009E1FC5"/>
    <w:rsid w:val="009E3B98"/>
    <w:rsid w:val="009E3DFB"/>
    <w:rsid w:val="009E4077"/>
    <w:rsid w:val="009E71DE"/>
    <w:rsid w:val="009E79D2"/>
    <w:rsid w:val="009F3237"/>
    <w:rsid w:val="009F35C4"/>
    <w:rsid w:val="00A01F78"/>
    <w:rsid w:val="00A02A08"/>
    <w:rsid w:val="00A02C71"/>
    <w:rsid w:val="00A04B77"/>
    <w:rsid w:val="00A05798"/>
    <w:rsid w:val="00A07E3D"/>
    <w:rsid w:val="00A1067B"/>
    <w:rsid w:val="00A12EC5"/>
    <w:rsid w:val="00A14A6A"/>
    <w:rsid w:val="00A16000"/>
    <w:rsid w:val="00A20A42"/>
    <w:rsid w:val="00A25C18"/>
    <w:rsid w:val="00A27D86"/>
    <w:rsid w:val="00A27DCF"/>
    <w:rsid w:val="00A30137"/>
    <w:rsid w:val="00A30E85"/>
    <w:rsid w:val="00A312D2"/>
    <w:rsid w:val="00A334CD"/>
    <w:rsid w:val="00A33D0B"/>
    <w:rsid w:val="00A37A1F"/>
    <w:rsid w:val="00A40710"/>
    <w:rsid w:val="00A427D8"/>
    <w:rsid w:val="00A43A46"/>
    <w:rsid w:val="00A445D2"/>
    <w:rsid w:val="00A471BB"/>
    <w:rsid w:val="00A50F77"/>
    <w:rsid w:val="00A529B8"/>
    <w:rsid w:val="00A546E9"/>
    <w:rsid w:val="00A56F38"/>
    <w:rsid w:val="00A60A80"/>
    <w:rsid w:val="00A63CF3"/>
    <w:rsid w:val="00A63F67"/>
    <w:rsid w:val="00A64688"/>
    <w:rsid w:val="00A65DC3"/>
    <w:rsid w:val="00A661C8"/>
    <w:rsid w:val="00A72A3C"/>
    <w:rsid w:val="00A72CCE"/>
    <w:rsid w:val="00A82C05"/>
    <w:rsid w:val="00A90DAE"/>
    <w:rsid w:val="00A9138C"/>
    <w:rsid w:val="00A91AB3"/>
    <w:rsid w:val="00A93AB1"/>
    <w:rsid w:val="00A975A3"/>
    <w:rsid w:val="00A9766A"/>
    <w:rsid w:val="00AA0AF2"/>
    <w:rsid w:val="00AA0E41"/>
    <w:rsid w:val="00AA59C5"/>
    <w:rsid w:val="00AA6116"/>
    <w:rsid w:val="00AB06DF"/>
    <w:rsid w:val="00AB2712"/>
    <w:rsid w:val="00AB3E72"/>
    <w:rsid w:val="00AB3EE6"/>
    <w:rsid w:val="00AB5E58"/>
    <w:rsid w:val="00AB6FD8"/>
    <w:rsid w:val="00AC0821"/>
    <w:rsid w:val="00AC2537"/>
    <w:rsid w:val="00AC27A1"/>
    <w:rsid w:val="00AC46C2"/>
    <w:rsid w:val="00AC46D6"/>
    <w:rsid w:val="00AC7F16"/>
    <w:rsid w:val="00AD4B6A"/>
    <w:rsid w:val="00AD5720"/>
    <w:rsid w:val="00AD5B2C"/>
    <w:rsid w:val="00AD7DD5"/>
    <w:rsid w:val="00AE2EA2"/>
    <w:rsid w:val="00AE3405"/>
    <w:rsid w:val="00AE4339"/>
    <w:rsid w:val="00AE507D"/>
    <w:rsid w:val="00AE6033"/>
    <w:rsid w:val="00AF045B"/>
    <w:rsid w:val="00AF1230"/>
    <w:rsid w:val="00AF13DE"/>
    <w:rsid w:val="00AF258A"/>
    <w:rsid w:val="00AF3417"/>
    <w:rsid w:val="00AF5EE6"/>
    <w:rsid w:val="00AF66EB"/>
    <w:rsid w:val="00AF77C1"/>
    <w:rsid w:val="00B00C22"/>
    <w:rsid w:val="00B00D5E"/>
    <w:rsid w:val="00B01FA8"/>
    <w:rsid w:val="00B0214B"/>
    <w:rsid w:val="00B12EB5"/>
    <w:rsid w:val="00B12FB4"/>
    <w:rsid w:val="00B1387A"/>
    <w:rsid w:val="00B17B1F"/>
    <w:rsid w:val="00B26B6A"/>
    <w:rsid w:val="00B32286"/>
    <w:rsid w:val="00B459B3"/>
    <w:rsid w:val="00B5191E"/>
    <w:rsid w:val="00B54F8F"/>
    <w:rsid w:val="00B63819"/>
    <w:rsid w:val="00B639F6"/>
    <w:rsid w:val="00B649AB"/>
    <w:rsid w:val="00B65453"/>
    <w:rsid w:val="00B65475"/>
    <w:rsid w:val="00B667B5"/>
    <w:rsid w:val="00B70CB3"/>
    <w:rsid w:val="00B7233E"/>
    <w:rsid w:val="00B72B97"/>
    <w:rsid w:val="00B80C65"/>
    <w:rsid w:val="00B81281"/>
    <w:rsid w:val="00B8796B"/>
    <w:rsid w:val="00B90AA5"/>
    <w:rsid w:val="00B90B63"/>
    <w:rsid w:val="00B91FD1"/>
    <w:rsid w:val="00B939A5"/>
    <w:rsid w:val="00B95FAE"/>
    <w:rsid w:val="00B960A3"/>
    <w:rsid w:val="00B96D7E"/>
    <w:rsid w:val="00BA062B"/>
    <w:rsid w:val="00BA2DB3"/>
    <w:rsid w:val="00BA48E0"/>
    <w:rsid w:val="00BA5C21"/>
    <w:rsid w:val="00BB100F"/>
    <w:rsid w:val="00BB794B"/>
    <w:rsid w:val="00BC18BD"/>
    <w:rsid w:val="00BC21B7"/>
    <w:rsid w:val="00BC5F9D"/>
    <w:rsid w:val="00BC6991"/>
    <w:rsid w:val="00BC7509"/>
    <w:rsid w:val="00BD0C5F"/>
    <w:rsid w:val="00BD1E30"/>
    <w:rsid w:val="00BD39B7"/>
    <w:rsid w:val="00BD43F4"/>
    <w:rsid w:val="00BD7763"/>
    <w:rsid w:val="00BE1892"/>
    <w:rsid w:val="00BE36E1"/>
    <w:rsid w:val="00BE4035"/>
    <w:rsid w:val="00BF1B4C"/>
    <w:rsid w:val="00BF7949"/>
    <w:rsid w:val="00C0706B"/>
    <w:rsid w:val="00C14EBE"/>
    <w:rsid w:val="00C2045F"/>
    <w:rsid w:val="00C218B2"/>
    <w:rsid w:val="00C21980"/>
    <w:rsid w:val="00C219F2"/>
    <w:rsid w:val="00C21ECD"/>
    <w:rsid w:val="00C2207C"/>
    <w:rsid w:val="00C22E64"/>
    <w:rsid w:val="00C23646"/>
    <w:rsid w:val="00C23FAE"/>
    <w:rsid w:val="00C2408D"/>
    <w:rsid w:val="00C26023"/>
    <w:rsid w:val="00C26700"/>
    <w:rsid w:val="00C30AF3"/>
    <w:rsid w:val="00C31A90"/>
    <w:rsid w:val="00C32054"/>
    <w:rsid w:val="00C37865"/>
    <w:rsid w:val="00C41782"/>
    <w:rsid w:val="00C44F66"/>
    <w:rsid w:val="00C47151"/>
    <w:rsid w:val="00C5056E"/>
    <w:rsid w:val="00C559DD"/>
    <w:rsid w:val="00C60410"/>
    <w:rsid w:val="00C6189A"/>
    <w:rsid w:val="00C61BD0"/>
    <w:rsid w:val="00C67813"/>
    <w:rsid w:val="00C7186F"/>
    <w:rsid w:val="00C7526B"/>
    <w:rsid w:val="00C76D82"/>
    <w:rsid w:val="00C77FF4"/>
    <w:rsid w:val="00C8038E"/>
    <w:rsid w:val="00C805A5"/>
    <w:rsid w:val="00C831C0"/>
    <w:rsid w:val="00C85E8F"/>
    <w:rsid w:val="00C87438"/>
    <w:rsid w:val="00C87866"/>
    <w:rsid w:val="00C9000F"/>
    <w:rsid w:val="00C91152"/>
    <w:rsid w:val="00C91D4F"/>
    <w:rsid w:val="00C93F7A"/>
    <w:rsid w:val="00C9443E"/>
    <w:rsid w:val="00C949B4"/>
    <w:rsid w:val="00CA524A"/>
    <w:rsid w:val="00CA5263"/>
    <w:rsid w:val="00CA7481"/>
    <w:rsid w:val="00CB463A"/>
    <w:rsid w:val="00CB5DE1"/>
    <w:rsid w:val="00CB6944"/>
    <w:rsid w:val="00CC01A4"/>
    <w:rsid w:val="00CC2A9F"/>
    <w:rsid w:val="00CC2AEF"/>
    <w:rsid w:val="00CC402E"/>
    <w:rsid w:val="00CC466D"/>
    <w:rsid w:val="00CC4CBC"/>
    <w:rsid w:val="00CC7628"/>
    <w:rsid w:val="00CD090B"/>
    <w:rsid w:val="00CD2D0B"/>
    <w:rsid w:val="00CD6346"/>
    <w:rsid w:val="00CD6674"/>
    <w:rsid w:val="00CD78D1"/>
    <w:rsid w:val="00CE205D"/>
    <w:rsid w:val="00CE43FB"/>
    <w:rsid w:val="00CF1B62"/>
    <w:rsid w:val="00D01EDA"/>
    <w:rsid w:val="00D02E64"/>
    <w:rsid w:val="00D033BA"/>
    <w:rsid w:val="00D036EE"/>
    <w:rsid w:val="00D07A78"/>
    <w:rsid w:val="00D105F3"/>
    <w:rsid w:val="00D12079"/>
    <w:rsid w:val="00D12D31"/>
    <w:rsid w:val="00D13E19"/>
    <w:rsid w:val="00D20148"/>
    <w:rsid w:val="00D2092D"/>
    <w:rsid w:val="00D21FE8"/>
    <w:rsid w:val="00D24429"/>
    <w:rsid w:val="00D26C36"/>
    <w:rsid w:val="00D27E73"/>
    <w:rsid w:val="00D30DEA"/>
    <w:rsid w:val="00D338A1"/>
    <w:rsid w:val="00D360CC"/>
    <w:rsid w:val="00D37274"/>
    <w:rsid w:val="00D37CCD"/>
    <w:rsid w:val="00D46E6F"/>
    <w:rsid w:val="00D514DC"/>
    <w:rsid w:val="00D52275"/>
    <w:rsid w:val="00D53FEF"/>
    <w:rsid w:val="00D547C9"/>
    <w:rsid w:val="00D5622E"/>
    <w:rsid w:val="00D57D82"/>
    <w:rsid w:val="00D57EA5"/>
    <w:rsid w:val="00D620FA"/>
    <w:rsid w:val="00D6220B"/>
    <w:rsid w:val="00D630F0"/>
    <w:rsid w:val="00D6323D"/>
    <w:rsid w:val="00D63707"/>
    <w:rsid w:val="00D64AA8"/>
    <w:rsid w:val="00D6741C"/>
    <w:rsid w:val="00D679BD"/>
    <w:rsid w:val="00D70560"/>
    <w:rsid w:val="00D72021"/>
    <w:rsid w:val="00D87B64"/>
    <w:rsid w:val="00D93886"/>
    <w:rsid w:val="00D96E77"/>
    <w:rsid w:val="00DA1641"/>
    <w:rsid w:val="00DA29F5"/>
    <w:rsid w:val="00DA48CF"/>
    <w:rsid w:val="00DA4BAC"/>
    <w:rsid w:val="00DA5704"/>
    <w:rsid w:val="00DA5B7B"/>
    <w:rsid w:val="00DA6691"/>
    <w:rsid w:val="00DA691F"/>
    <w:rsid w:val="00DB3373"/>
    <w:rsid w:val="00DB46A4"/>
    <w:rsid w:val="00DB5314"/>
    <w:rsid w:val="00DB553A"/>
    <w:rsid w:val="00DB686D"/>
    <w:rsid w:val="00DB7288"/>
    <w:rsid w:val="00DB7718"/>
    <w:rsid w:val="00DC4044"/>
    <w:rsid w:val="00DC7F67"/>
    <w:rsid w:val="00DD1C6A"/>
    <w:rsid w:val="00DD1D3B"/>
    <w:rsid w:val="00DD2185"/>
    <w:rsid w:val="00DF3388"/>
    <w:rsid w:val="00DF3FFA"/>
    <w:rsid w:val="00E0058E"/>
    <w:rsid w:val="00E00BB6"/>
    <w:rsid w:val="00E0478D"/>
    <w:rsid w:val="00E04B5E"/>
    <w:rsid w:val="00E05C22"/>
    <w:rsid w:val="00E05F5B"/>
    <w:rsid w:val="00E10EEF"/>
    <w:rsid w:val="00E200DE"/>
    <w:rsid w:val="00E225FB"/>
    <w:rsid w:val="00E2683F"/>
    <w:rsid w:val="00E26ED2"/>
    <w:rsid w:val="00E27F82"/>
    <w:rsid w:val="00E30447"/>
    <w:rsid w:val="00E305E1"/>
    <w:rsid w:val="00E30797"/>
    <w:rsid w:val="00E31C9D"/>
    <w:rsid w:val="00E31E88"/>
    <w:rsid w:val="00E321A0"/>
    <w:rsid w:val="00E34536"/>
    <w:rsid w:val="00E365F9"/>
    <w:rsid w:val="00E42493"/>
    <w:rsid w:val="00E42D45"/>
    <w:rsid w:val="00E44AF6"/>
    <w:rsid w:val="00E52327"/>
    <w:rsid w:val="00E53477"/>
    <w:rsid w:val="00E539F2"/>
    <w:rsid w:val="00E53B82"/>
    <w:rsid w:val="00E60ABC"/>
    <w:rsid w:val="00E61785"/>
    <w:rsid w:val="00E62483"/>
    <w:rsid w:val="00E65005"/>
    <w:rsid w:val="00E6561F"/>
    <w:rsid w:val="00E65AE3"/>
    <w:rsid w:val="00E70152"/>
    <w:rsid w:val="00E71261"/>
    <w:rsid w:val="00E73D41"/>
    <w:rsid w:val="00E93A65"/>
    <w:rsid w:val="00E941C5"/>
    <w:rsid w:val="00E96404"/>
    <w:rsid w:val="00EA0B89"/>
    <w:rsid w:val="00EA1CCB"/>
    <w:rsid w:val="00EA27E0"/>
    <w:rsid w:val="00EA35CF"/>
    <w:rsid w:val="00EA38FC"/>
    <w:rsid w:val="00EA3EEF"/>
    <w:rsid w:val="00EB3801"/>
    <w:rsid w:val="00EC5A0C"/>
    <w:rsid w:val="00ED0C7F"/>
    <w:rsid w:val="00ED1279"/>
    <w:rsid w:val="00ED1AE0"/>
    <w:rsid w:val="00ED1EE1"/>
    <w:rsid w:val="00ED2D68"/>
    <w:rsid w:val="00ED358B"/>
    <w:rsid w:val="00ED3BDB"/>
    <w:rsid w:val="00EE16D9"/>
    <w:rsid w:val="00EE65F8"/>
    <w:rsid w:val="00EE6782"/>
    <w:rsid w:val="00EF2326"/>
    <w:rsid w:val="00EF244E"/>
    <w:rsid w:val="00EF7D54"/>
    <w:rsid w:val="00F00D75"/>
    <w:rsid w:val="00F0665E"/>
    <w:rsid w:val="00F06775"/>
    <w:rsid w:val="00F11BA7"/>
    <w:rsid w:val="00F12C4F"/>
    <w:rsid w:val="00F13664"/>
    <w:rsid w:val="00F13BB8"/>
    <w:rsid w:val="00F1488B"/>
    <w:rsid w:val="00F148DF"/>
    <w:rsid w:val="00F14956"/>
    <w:rsid w:val="00F14A9C"/>
    <w:rsid w:val="00F16F24"/>
    <w:rsid w:val="00F214AA"/>
    <w:rsid w:val="00F36DBF"/>
    <w:rsid w:val="00F428EC"/>
    <w:rsid w:val="00F42FC5"/>
    <w:rsid w:val="00F4667F"/>
    <w:rsid w:val="00F50110"/>
    <w:rsid w:val="00F5411B"/>
    <w:rsid w:val="00F54DE8"/>
    <w:rsid w:val="00F622B5"/>
    <w:rsid w:val="00F66C42"/>
    <w:rsid w:val="00F678F4"/>
    <w:rsid w:val="00F703AA"/>
    <w:rsid w:val="00F708BB"/>
    <w:rsid w:val="00F734AD"/>
    <w:rsid w:val="00F75748"/>
    <w:rsid w:val="00F8081C"/>
    <w:rsid w:val="00F80BB4"/>
    <w:rsid w:val="00F842C6"/>
    <w:rsid w:val="00F8635C"/>
    <w:rsid w:val="00F902FD"/>
    <w:rsid w:val="00F91090"/>
    <w:rsid w:val="00F92E90"/>
    <w:rsid w:val="00F964DE"/>
    <w:rsid w:val="00F96F46"/>
    <w:rsid w:val="00FA2C61"/>
    <w:rsid w:val="00FA424E"/>
    <w:rsid w:val="00FA5FD0"/>
    <w:rsid w:val="00FB0019"/>
    <w:rsid w:val="00FB2D96"/>
    <w:rsid w:val="00FB40FF"/>
    <w:rsid w:val="00FB526E"/>
    <w:rsid w:val="00FB7C78"/>
    <w:rsid w:val="00FC0E0E"/>
    <w:rsid w:val="00FC2D58"/>
    <w:rsid w:val="00FC4763"/>
    <w:rsid w:val="00FC683E"/>
    <w:rsid w:val="00FD1332"/>
    <w:rsid w:val="00FD415F"/>
    <w:rsid w:val="00FD6944"/>
    <w:rsid w:val="00FE34EB"/>
    <w:rsid w:val="00FF0197"/>
    <w:rsid w:val="00FF204B"/>
    <w:rsid w:val="00FF43EE"/>
    <w:rsid w:val="00FF77F0"/>
    <w:rsid w:val="013804D6"/>
    <w:rsid w:val="069367C3"/>
    <w:rsid w:val="087E169A"/>
    <w:rsid w:val="09430368"/>
    <w:rsid w:val="0E1D1BC0"/>
    <w:rsid w:val="0EFBE268"/>
    <w:rsid w:val="10D52AE9"/>
    <w:rsid w:val="111F1B8A"/>
    <w:rsid w:val="12357513"/>
    <w:rsid w:val="1381018F"/>
    <w:rsid w:val="13995836"/>
    <w:rsid w:val="139F5A52"/>
    <w:rsid w:val="15ED7798"/>
    <w:rsid w:val="16476477"/>
    <w:rsid w:val="17B532ED"/>
    <w:rsid w:val="1C6C676D"/>
    <w:rsid w:val="23411C7C"/>
    <w:rsid w:val="254C6D2A"/>
    <w:rsid w:val="25A16E0F"/>
    <w:rsid w:val="2833236A"/>
    <w:rsid w:val="2DBE49B4"/>
    <w:rsid w:val="3624040D"/>
    <w:rsid w:val="362743E0"/>
    <w:rsid w:val="3A92326F"/>
    <w:rsid w:val="3ADB02FD"/>
    <w:rsid w:val="3BD26691"/>
    <w:rsid w:val="3EF39E12"/>
    <w:rsid w:val="3F1A070A"/>
    <w:rsid w:val="402B4D77"/>
    <w:rsid w:val="46C61282"/>
    <w:rsid w:val="4AB203E0"/>
    <w:rsid w:val="4D203123"/>
    <w:rsid w:val="55BE52B4"/>
    <w:rsid w:val="57943A54"/>
    <w:rsid w:val="58F05EF3"/>
    <w:rsid w:val="590A2E1E"/>
    <w:rsid w:val="5A091212"/>
    <w:rsid w:val="5C0B6808"/>
    <w:rsid w:val="5D5E70AC"/>
    <w:rsid w:val="5ECB1ACC"/>
    <w:rsid w:val="5FBAA2C5"/>
    <w:rsid w:val="64DD1A80"/>
    <w:rsid w:val="652112DE"/>
    <w:rsid w:val="68E33569"/>
    <w:rsid w:val="6DDEEB53"/>
    <w:rsid w:val="6DFF5E96"/>
    <w:rsid w:val="6E4100F3"/>
    <w:rsid w:val="6F98E831"/>
    <w:rsid w:val="7574554F"/>
    <w:rsid w:val="773C4658"/>
    <w:rsid w:val="77C10BE6"/>
    <w:rsid w:val="79226B32"/>
    <w:rsid w:val="7A95542D"/>
    <w:rsid w:val="7C975E78"/>
    <w:rsid w:val="7FF70F4B"/>
    <w:rsid w:val="B7FE8D8B"/>
    <w:rsid w:val="D46EF975"/>
    <w:rsid w:val="EDE5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黑体" w:cs="Times New Roman"/>
      <w:b/>
      <w:bCs/>
      <w:kern w:val="44"/>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link w:val="21"/>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cs="Times New Roman"/>
      <w:kern w:val="0"/>
      <w:sz w:val="24"/>
    </w:rPr>
  </w:style>
  <w:style w:type="paragraph" w:styleId="9">
    <w:name w:val="annotation subject"/>
    <w:basedOn w:val="3"/>
    <w:next w:val="3"/>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日期 字符"/>
    <w:basedOn w:val="12"/>
    <w:link w:val="4"/>
    <w:qFormat/>
    <w:uiPriority w:val="0"/>
    <w:rPr>
      <w:rFonts w:asciiTheme="minorHAnsi" w:hAnsiTheme="minorHAnsi" w:eastAsiaTheme="minorEastAsia" w:cstheme="minorBidi"/>
      <w:kern w:val="2"/>
      <w:sz w:val="21"/>
      <w:szCs w:val="24"/>
    </w:rPr>
  </w:style>
  <w:style w:type="character" w:customStyle="1" w:styleId="19">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批注框文本 字符"/>
    <w:basedOn w:val="12"/>
    <w:link w:val="5"/>
    <w:qFormat/>
    <w:uiPriority w:val="0"/>
    <w:rPr>
      <w:rFonts w:asciiTheme="minorHAnsi" w:hAnsiTheme="minorHAnsi" w:eastAsiaTheme="minorEastAsia" w:cstheme="minorBidi"/>
      <w:kern w:val="2"/>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611</Words>
  <Characters>3485</Characters>
  <Lines>29</Lines>
  <Paragraphs>8</Paragraphs>
  <TotalTime>1</TotalTime>
  <ScaleCrop>false</ScaleCrop>
  <LinksUpToDate>false</LinksUpToDate>
  <CharactersWithSpaces>4088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2025-02-22T00:23:00Z</dcterms:created>
  <dc:creator>WPS_1708674111</dc:creator>
  <cp:lastModifiedBy>张亮亮</cp:lastModifiedBy>
  <cp:lastPrinted>2024-07-16T01:50:00Z</cp:lastPrinted>
  <dcterms:modified xsi:type="dcterms:W3CDTF">2025-03-07T17:27:13Z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77F44AACA67A4E7CAB2DFA4D53763F10_13</vt:lpwstr>
  </property>
</Properties>
</file>