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50EF" w14:textId="77777777" w:rsidR="00900CA3" w:rsidRDefault="00E77970">
      <w:pPr>
        <w:jc w:val="center"/>
        <w:rPr>
          <w:rFonts w:ascii="黑体" w:eastAsia="黑体" w:hAnsi="黑体"/>
          <w:sz w:val="44"/>
          <w:szCs w:val="44"/>
        </w:rPr>
      </w:pPr>
      <w:r>
        <w:rPr>
          <w:rFonts w:ascii="黑体" w:eastAsia="黑体" w:hAnsi="黑体" w:hint="eastAsia"/>
          <w:sz w:val="44"/>
          <w:szCs w:val="44"/>
        </w:rPr>
        <w:t>大连市氢能产业标准体系编制说明</w:t>
      </w:r>
    </w:p>
    <w:p w14:paraId="6950A143" w14:textId="77777777" w:rsidR="00900CA3" w:rsidRDefault="00E77970">
      <w:pPr>
        <w:jc w:val="center"/>
        <w:rPr>
          <w:rFonts w:ascii="黑体" w:eastAsia="黑体" w:hAnsi="黑体"/>
          <w:sz w:val="44"/>
          <w:szCs w:val="44"/>
        </w:rPr>
      </w:pPr>
      <w:r>
        <w:rPr>
          <w:rFonts w:ascii="黑体" w:eastAsia="黑体" w:hAnsi="黑体" w:hint="eastAsia"/>
          <w:sz w:val="44"/>
          <w:szCs w:val="44"/>
        </w:rPr>
        <w:t>（征求意见稿）</w:t>
      </w:r>
    </w:p>
    <w:p w14:paraId="55476946" w14:textId="77777777" w:rsidR="00900CA3" w:rsidRDefault="00900CA3">
      <w:pPr>
        <w:spacing w:afterLines="200" w:after="624"/>
        <w:jc w:val="center"/>
        <w:rPr>
          <w:rFonts w:ascii="黑体" w:eastAsia="黑体" w:hAnsi="黑体"/>
          <w:sz w:val="44"/>
          <w:szCs w:val="44"/>
        </w:rPr>
      </w:pPr>
    </w:p>
    <w:p w14:paraId="2F9E7C6B"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背景与概述</w:t>
      </w:r>
    </w:p>
    <w:p w14:paraId="6E17F47A"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在全球能源向清洁化、低碳化、智能化发展趋势下，为顺应行业脱碳和能源安全需求，日本、韩国、德国、英国、美国等超过20个国家和地区都已加入到发展氢能的行列当中，并陆续发布国家级氢能规划。根据国际能源署（IEA）的统计，截至2024年9月，已有超过50个国家和地区发布了氢能战略，全球氢能项目数量达到1,572个。已经发布国家氢能战略的国家覆盖全球GDP超80%的主要经济体。我国已有22个省份将氢能写入2024年地方政府工作报告，28个省份出台氢能产业发展相关规划，辽宁省2021年首次将氢能写入政府工作报告。2024年11月颁布的《中华人民共和国能源法》首次将氢能明确纳入国家能源管理体系，从法律层面确立了氢能的能源地位。</w:t>
      </w:r>
    </w:p>
    <w:p w14:paraId="280AE3D5"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为落实国家关于发展氢能产业的决策部署，充分发挥氢能在现代能源体系建设、用能终端绿色低碳转型中的载体作用，2023年国家标准委等六部门联合发布了《关于印发&lt;氢能产业标准体系建设指南（2023版）&gt;的通知》（</w:t>
      </w:r>
      <w:proofErr w:type="gramStart"/>
      <w:r>
        <w:rPr>
          <w:rFonts w:ascii="仿宋" w:eastAsia="仿宋" w:hAnsi="仿宋" w:hint="eastAsia"/>
          <w:sz w:val="32"/>
          <w:szCs w:val="32"/>
        </w:rPr>
        <w:t>国标委联</w:t>
      </w:r>
      <w:proofErr w:type="gramEnd"/>
      <w:r>
        <w:rPr>
          <w:rFonts w:ascii="仿宋" w:eastAsia="仿宋" w:hAnsi="仿宋" w:hint="eastAsia"/>
          <w:sz w:val="32"/>
          <w:szCs w:val="32"/>
        </w:rPr>
        <w:t>〔2023〕34号），系统的建立了氢能制、储、输、用标准体</w:t>
      </w:r>
      <w:r>
        <w:rPr>
          <w:rFonts w:ascii="仿宋" w:eastAsia="仿宋" w:hAnsi="仿宋" w:hint="eastAsia"/>
          <w:sz w:val="32"/>
          <w:szCs w:val="32"/>
        </w:rPr>
        <w:lastRenderedPageBreak/>
        <w:t>系，为全国各地区氢能产业标准体系建设工作提供指导。</w:t>
      </w:r>
    </w:p>
    <w:p w14:paraId="44D3316E" w14:textId="52509386" w:rsidR="00900CA3" w:rsidRDefault="00E77970">
      <w:pPr>
        <w:ind w:firstLineChars="200" w:firstLine="640"/>
        <w:rPr>
          <w:rFonts w:ascii="仿宋" w:eastAsia="仿宋" w:hAnsi="仿宋"/>
          <w:sz w:val="32"/>
          <w:szCs w:val="32"/>
        </w:rPr>
      </w:pPr>
      <w:r>
        <w:rPr>
          <w:rFonts w:ascii="仿宋" w:eastAsia="仿宋" w:hAnsi="仿宋" w:hint="eastAsia"/>
          <w:sz w:val="32"/>
          <w:szCs w:val="32"/>
        </w:rPr>
        <w:t>为贯彻落实《氢能产业发展中长期规划（2021-2035年）》和《大连市氢能产业发展规划（2024-2035年）》等文件精神，加快推进大连市氢能产业标准体系建设，充分发挥标准化对氢能产业高质量发展的支撑作用，依据《氢能产业标准体系建设指南（2023版）》《大连市氢能产业发展规划（2024-2035年）》以及大连市氢能产业发展的重点方向、氢能应用示范的具体场景、氢能重大专项、重点研发课题以及辽宁省和大连市的氢能相关政策，大连市科学技术局、大连市市场监督管理局联合编制了《大连市氢能产业标准体系（2025年）》。构建一套适合大连市氢能产业发展并高度适配的标准体系，解决标准空白</w:t>
      </w:r>
      <w:r w:rsidR="00202964">
        <w:rPr>
          <w:rFonts w:ascii="仿宋" w:eastAsia="仿宋" w:hAnsi="仿宋" w:hint="eastAsia"/>
          <w:sz w:val="32"/>
          <w:szCs w:val="32"/>
        </w:rPr>
        <w:t>、</w:t>
      </w:r>
      <w:r>
        <w:rPr>
          <w:rFonts w:ascii="仿宋" w:eastAsia="仿宋" w:hAnsi="仿宋" w:hint="eastAsia"/>
          <w:sz w:val="32"/>
          <w:szCs w:val="32"/>
        </w:rPr>
        <w:t>滞后和缺失等问题。</w:t>
      </w:r>
    </w:p>
    <w:p w14:paraId="751C14A3"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编制目的</w:t>
      </w:r>
    </w:p>
    <w:p w14:paraId="51509C96"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《大连市氢能产业标准体系》编制的目的是规范氢能产业发展，提升产业整体竞争力，推动氢能产业安全、高效、可持续发展。</w:t>
      </w:r>
    </w:p>
    <w:p w14:paraId="1C940B93"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标准化是氢能技术创新与规模化应用的关键纽带，是将技术优势转化为市场优势的重要桥梁。标准体系作为标准化工作的顶层设计，能够系统性地引导标准制定，弥补技术空白，形成产业协同效应，对发挥标准在引领氢能技术进步和商业化落地方面具有不可替代的作用。</w:t>
      </w:r>
    </w:p>
    <w:p w14:paraId="768CBB26"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《国家标准化发展纲要》指出</w:t>
      </w:r>
      <w:r>
        <w:rPr>
          <w:rFonts w:ascii="仿宋" w:eastAsia="仿宋" w:hAnsi="仿宋" w:hint="eastAsia"/>
          <w:color w:val="000000" w:themeColor="text1"/>
          <w:sz w:val="32"/>
          <w:szCs w:val="32"/>
        </w:rPr>
        <w:t>要“增强产业链供应链稳</w:t>
      </w:r>
      <w:r>
        <w:rPr>
          <w:rFonts w:ascii="仿宋" w:eastAsia="仿宋" w:hAnsi="仿宋" w:hint="eastAsia"/>
          <w:color w:val="000000" w:themeColor="text1"/>
          <w:sz w:val="32"/>
          <w:szCs w:val="32"/>
        </w:rPr>
        <w:lastRenderedPageBreak/>
        <w:t xml:space="preserve">定性和产业综合竞争力”。 </w:t>
      </w:r>
      <w:r>
        <w:rPr>
          <w:rFonts w:ascii="仿宋" w:eastAsia="仿宋" w:hAnsi="仿宋" w:hint="eastAsia"/>
          <w:sz w:val="32"/>
          <w:szCs w:val="32"/>
        </w:rPr>
        <w:t>大连市正通过政策支持、技术创新和产业协同，加快构建清洁低碳、安全高效的现代能源体系。氢能产业标准体系的构建，是支撑产业高质量发展的技术基础，也是推动产业链智能化、绿色化发展的规则保障，对</w:t>
      </w:r>
      <w:bookmarkStart w:id="0" w:name="OLE_LINK1"/>
      <w:bookmarkStart w:id="1" w:name="OLE_LINK2"/>
      <w:r>
        <w:rPr>
          <w:rFonts w:ascii="仿宋" w:eastAsia="仿宋" w:hAnsi="仿宋" w:hint="eastAsia"/>
          <w:sz w:val="32"/>
          <w:szCs w:val="32"/>
        </w:rPr>
        <w:t>大连市打造国家级氢能示范城市</w:t>
      </w:r>
      <w:bookmarkEnd w:id="0"/>
      <w:r>
        <w:rPr>
          <w:rFonts w:ascii="仿宋" w:eastAsia="仿宋" w:hAnsi="仿宋" w:hint="eastAsia"/>
          <w:sz w:val="32"/>
          <w:szCs w:val="32"/>
        </w:rPr>
        <w:t>具有重要意义</w:t>
      </w:r>
      <w:bookmarkEnd w:id="1"/>
      <w:r>
        <w:rPr>
          <w:rFonts w:ascii="仿宋" w:eastAsia="仿宋" w:hAnsi="仿宋" w:hint="eastAsia"/>
          <w:sz w:val="32"/>
          <w:szCs w:val="32"/>
        </w:rPr>
        <w:t>。</w:t>
      </w:r>
    </w:p>
    <w:p w14:paraId="0FF49C37"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氢能产业标准体系的建立，将助力大连市抢占氢能技术制高点，促进产学研用深度融合。 通过完善制氢、储运、加注及应用全链条标准，可降低产业运行成本，提升安全可靠性，加速氢能商业化进程。该体系不仅是氢能产业规范化发展的技术支撑，更是大连市构建绿色低碳循环经济体系的重要抓手，将为东北地区能源转型和产业升级提供示范引领。</w:t>
      </w:r>
    </w:p>
    <w:p w14:paraId="3619A3C0"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编制依据</w:t>
      </w:r>
    </w:p>
    <w:p w14:paraId="10ABD851" w14:textId="77777777" w:rsidR="00900CA3" w:rsidRDefault="00E77970">
      <w:pPr>
        <w:pStyle w:val="a9"/>
        <w:ind w:left="0" w:firstLineChars="200" w:firstLine="640"/>
        <w:rPr>
          <w:rFonts w:ascii="仿宋" w:eastAsia="仿宋" w:hAnsi="仿宋"/>
          <w:sz w:val="32"/>
          <w:szCs w:val="32"/>
        </w:rPr>
      </w:pPr>
      <w:r>
        <w:rPr>
          <w:rFonts w:ascii="仿宋" w:eastAsia="仿宋" w:hAnsi="仿宋" w:hint="eastAsia"/>
          <w:sz w:val="32"/>
          <w:szCs w:val="32"/>
        </w:rPr>
        <w:t>《大连市氢能产业标准体系（征求意见稿）》参考标准、政策文件、发展规划以及城市发展现状，具体参考文件如下：1.《GB/T 13016-2018标准体系构建原则和要求》；</w:t>
      </w:r>
    </w:p>
    <w:p w14:paraId="2B964D8E" w14:textId="77777777" w:rsidR="00900CA3" w:rsidRDefault="00E77970">
      <w:pPr>
        <w:rPr>
          <w:rFonts w:ascii="仿宋" w:eastAsia="仿宋" w:hAnsi="仿宋"/>
          <w:sz w:val="32"/>
          <w:szCs w:val="32"/>
        </w:rPr>
      </w:pPr>
      <w:r>
        <w:rPr>
          <w:rFonts w:ascii="仿宋" w:eastAsia="仿宋" w:hAnsi="仿宋" w:hint="eastAsia"/>
          <w:sz w:val="32"/>
          <w:szCs w:val="32"/>
        </w:rPr>
        <w:t>2.《氢能产业发展中长期规划（2021-2035年）》；</w:t>
      </w:r>
    </w:p>
    <w:p w14:paraId="402A07EB" w14:textId="77777777" w:rsidR="00900CA3" w:rsidRDefault="00E77970">
      <w:pPr>
        <w:rPr>
          <w:rFonts w:ascii="仿宋" w:eastAsia="仿宋" w:hAnsi="仿宋"/>
          <w:sz w:val="32"/>
          <w:szCs w:val="32"/>
        </w:rPr>
      </w:pPr>
      <w:r>
        <w:rPr>
          <w:rFonts w:ascii="仿宋" w:eastAsia="仿宋" w:hAnsi="仿宋" w:hint="eastAsia"/>
          <w:sz w:val="32"/>
          <w:szCs w:val="32"/>
        </w:rPr>
        <w:t>3.《</w:t>
      </w:r>
      <w:r>
        <w:rPr>
          <w:rFonts w:ascii="仿宋_GB2312" w:eastAsia="仿宋_GB2312" w:hAnsi="仿宋_GB2312"/>
          <w:sz w:val="32"/>
        </w:rPr>
        <w:t>氢能产业标准体系建设指南（2023版）</w:t>
      </w:r>
      <w:r>
        <w:rPr>
          <w:rFonts w:ascii="仿宋" w:eastAsia="仿宋" w:hAnsi="仿宋" w:hint="eastAsia"/>
          <w:sz w:val="32"/>
          <w:szCs w:val="32"/>
        </w:rPr>
        <w:t>》；</w:t>
      </w:r>
    </w:p>
    <w:p w14:paraId="277E9937" w14:textId="77777777" w:rsidR="00900CA3" w:rsidRDefault="00E77970">
      <w:pPr>
        <w:rPr>
          <w:rFonts w:ascii="仿宋" w:eastAsia="仿宋" w:hAnsi="仿宋"/>
          <w:sz w:val="32"/>
          <w:szCs w:val="32"/>
        </w:rPr>
      </w:pPr>
      <w:r>
        <w:rPr>
          <w:rFonts w:ascii="仿宋" w:eastAsia="仿宋" w:hAnsi="仿宋" w:hint="eastAsia"/>
          <w:sz w:val="32"/>
          <w:szCs w:val="32"/>
        </w:rPr>
        <w:t>4.《碳达峰碳中和标准体系建设指南》；</w:t>
      </w:r>
    </w:p>
    <w:p w14:paraId="3EC89A76" w14:textId="77777777" w:rsidR="00900CA3" w:rsidRDefault="00E77970">
      <w:pPr>
        <w:rPr>
          <w:rFonts w:ascii="仿宋" w:eastAsia="仿宋" w:hAnsi="仿宋"/>
          <w:sz w:val="32"/>
          <w:szCs w:val="32"/>
        </w:rPr>
      </w:pPr>
      <w:r>
        <w:rPr>
          <w:rFonts w:ascii="仿宋" w:eastAsia="仿宋" w:hAnsi="仿宋" w:hint="eastAsia"/>
          <w:sz w:val="32"/>
          <w:szCs w:val="32"/>
        </w:rPr>
        <w:t>5.《</w:t>
      </w:r>
      <w:bookmarkStart w:id="2" w:name="OLE_LINK4"/>
      <w:r>
        <w:rPr>
          <w:rFonts w:ascii="仿宋" w:eastAsia="仿宋" w:hAnsi="仿宋" w:hint="eastAsia"/>
          <w:sz w:val="32"/>
          <w:szCs w:val="32"/>
        </w:rPr>
        <w:t>辽宁省氢能产业发展规划（2021-2025年）</w:t>
      </w:r>
      <w:bookmarkEnd w:id="2"/>
      <w:r>
        <w:rPr>
          <w:rFonts w:ascii="仿宋" w:eastAsia="仿宋" w:hAnsi="仿宋" w:hint="eastAsia"/>
          <w:sz w:val="32"/>
          <w:szCs w:val="32"/>
        </w:rPr>
        <w:t>》；</w:t>
      </w:r>
    </w:p>
    <w:p w14:paraId="30DA85A6" w14:textId="22CB7149" w:rsidR="00900CA3" w:rsidRDefault="00E77970">
      <w:pPr>
        <w:rPr>
          <w:rFonts w:ascii="仿宋" w:eastAsia="仿宋" w:hAnsi="仿宋"/>
          <w:sz w:val="32"/>
          <w:szCs w:val="32"/>
        </w:rPr>
      </w:pPr>
      <w:r>
        <w:rPr>
          <w:rFonts w:ascii="仿宋" w:eastAsia="仿宋" w:hAnsi="仿宋" w:hint="eastAsia"/>
          <w:sz w:val="32"/>
          <w:szCs w:val="32"/>
        </w:rPr>
        <w:t>6.《大连市氢能产业发展规划（2024-2035年）》</w:t>
      </w:r>
      <w:r w:rsidR="00261A35">
        <w:rPr>
          <w:rFonts w:ascii="仿宋" w:eastAsia="仿宋" w:hAnsi="仿宋" w:hint="eastAsia"/>
          <w:sz w:val="32"/>
          <w:szCs w:val="32"/>
        </w:rPr>
        <w:t>。</w:t>
      </w:r>
    </w:p>
    <w:p w14:paraId="4A45F08B" w14:textId="77777777" w:rsidR="00900CA3" w:rsidRDefault="00E77970">
      <w:pPr>
        <w:pStyle w:val="a9"/>
        <w:numPr>
          <w:ilvl w:val="0"/>
          <w:numId w:val="1"/>
        </w:numPr>
        <w:spacing w:beforeLines="50" w:before="156" w:afterLines="50" w:after="156"/>
        <w:rPr>
          <w:rFonts w:ascii="黑体" w:eastAsia="黑体" w:hAnsi="黑体"/>
          <w:sz w:val="32"/>
          <w:szCs w:val="32"/>
        </w:rPr>
      </w:pPr>
      <w:bookmarkStart w:id="3" w:name="_Hlk196471006"/>
      <w:r>
        <w:rPr>
          <w:rFonts w:ascii="黑体" w:eastAsia="黑体" w:hAnsi="黑体" w:hint="eastAsia"/>
          <w:sz w:val="32"/>
          <w:szCs w:val="32"/>
        </w:rPr>
        <w:t>编制原则</w:t>
      </w:r>
    </w:p>
    <w:p w14:paraId="7829EA05" w14:textId="77777777" w:rsidR="00900CA3" w:rsidRDefault="00E77970">
      <w:pPr>
        <w:ind w:firstLineChars="200" w:firstLine="640"/>
        <w:rPr>
          <w:rFonts w:ascii="仿宋" w:eastAsia="仿宋" w:hAnsi="仿宋"/>
          <w:sz w:val="32"/>
          <w:szCs w:val="32"/>
        </w:rPr>
      </w:pPr>
      <w:bookmarkStart w:id="4" w:name="OLE_LINK3"/>
      <w:r>
        <w:rPr>
          <w:rFonts w:ascii="仿宋" w:eastAsia="仿宋" w:hAnsi="仿宋" w:hint="eastAsia"/>
          <w:sz w:val="32"/>
          <w:szCs w:val="32"/>
        </w:rPr>
        <w:lastRenderedPageBreak/>
        <w:t>在编制过程中，应遵循以下原则：</w:t>
      </w:r>
    </w:p>
    <w:p w14:paraId="7B03C6BC"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科学性原则：标准体系应基于氢能技术研究成果和产业实践经验，确保各项标准的科学性、先进性和合理性，符合产业发展规律。</w:t>
      </w:r>
    </w:p>
    <w:p w14:paraId="5AEC237D" w14:textId="04B1DEC7" w:rsidR="00900CA3" w:rsidRDefault="00E77970">
      <w:pPr>
        <w:ind w:firstLineChars="200" w:firstLine="640"/>
        <w:rPr>
          <w:rFonts w:ascii="仿宋" w:eastAsia="仿宋" w:hAnsi="仿宋"/>
          <w:sz w:val="32"/>
          <w:szCs w:val="32"/>
        </w:rPr>
      </w:pPr>
      <w:r>
        <w:rPr>
          <w:rFonts w:ascii="仿宋" w:eastAsia="仿宋" w:hAnsi="仿宋" w:hint="eastAsia"/>
          <w:sz w:val="32"/>
          <w:szCs w:val="32"/>
        </w:rPr>
        <w:t>系统性原则：标准体系应覆盖氢能全产业链，包括制氢、储运、加注及</w:t>
      </w:r>
      <w:r w:rsidR="00261A35">
        <w:rPr>
          <w:rFonts w:ascii="仿宋" w:eastAsia="仿宋" w:hAnsi="仿宋" w:hint="eastAsia"/>
          <w:sz w:val="32"/>
          <w:szCs w:val="32"/>
        </w:rPr>
        <w:t>氢能</w:t>
      </w:r>
      <w:r>
        <w:rPr>
          <w:rFonts w:ascii="仿宋" w:eastAsia="仿宋" w:hAnsi="仿宋" w:hint="eastAsia"/>
          <w:sz w:val="32"/>
          <w:szCs w:val="32"/>
        </w:rPr>
        <w:t>应用等关键环节，形成层次清晰、结构完整的有机整体。</w:t>
      </w:r>
    </w:p>
    <w:p w14:paraId="301A62BB"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协调性原则：标准体系应统筹协调氢能产业内部及与能源、交通、化工、环保、安全等相关领域标准的关系，确保与国家标准、行业标准有效衔接，避免交叉矛盾。</w:t>
      </w:r>
    </w:p>
    <w:p w14:paraId="7F4A5E1F"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可操作性原则：标准体系应立足产业发展实际，确保标准内容清晰明确、便于实施，助力企业规范运营，推动氢能技术规模化、商业化应用。</w:t>
      </w:r>
    </w:p>
    <w:bookmarkEnd w:id="4"/>
    <w:p w14:paraId="6309C252"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标准体系构建基本考虑</w:t>
      </w:r>
    </w:p>
    <w:p w14:paraId="0870B5C2" w14:textId="77777777" w:rsidR="00900CA3" w:rsidRDefault="00E77970">
      <w:pPr>
        <w:rPr>
          <w:rFonts w:ascii="黑体" w:eastAsia="黑体" w:hAnsi="黑体"/>
          <w:sz w:val="32"/>
          <w:szCs w:val="32"/>
        </w:rPr>
      </w:pPr>
      <w:r>
        <w:rPr>
          <w:rFonts w:ascii="黑体" w:eastAsia="黑体" w:hAnsi="黑体" w:hint="eastAsia"/>
          <w:sz w:val="32"/>
          <w:szCs w:val="32"/>
        </w:rPr>
        <w:t>（一）面向未来，支撑技术创新和产业升级</w:t>
      </w:r>
    </w:p>
    <w:p w14:paraId="66F99184"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氢能作为清洁能源的重要发展方向，涵盖制氢、储运、加注、燃料电池及多元应用等多个环节，技术和产业仍处于快速发展阶段。氢能标准体系的建设需立足技术前沿，采用开放、包容的思路，重点关注共性技术、核心装备及成熟应用领域，同时为新兴技术（</w:t>
      </w:r>
      <w:proofErr w:type="gramStart"/>
      <w:r>
        <w:rPr>
          <w:rFonts w:ascii="仿宋" w:eastAsia="仿宋" w:hAnsi="仿宋" w:hint="eastAsia"/>
          <w:sz w:val="32"/>
          <w:szCs w:val="32"/>
        </w:rPr>
        <w:t>如绿氢制备</w:t>
      </w:r>
      <w:proofErr w:type="gramEnd"/>
      <w:r>
        <w:rPr>
          <w:rFonts w:ascii="仿宋" w:eastAsia="仿宋" w:hAnsi="仿宋" w:hint="eastAsia"/>
          <w:sz w:val="32"/>
          <w:szCs w:val="32"/>
        </w:rPr>
        <w:t>、固态储氢、氢能交通等）预留发展空间，避免标准体系过度限制技术创新和产业升级。</w:t>
      </w:r>
    </w:p>
    <w:p w14:paraId="0F505E15" w14:textId="77777777" w:rsidR="00900CA3" w:rsidRDefault="00E77970">
      <w:pPr>
        <w:rPr>
          <w:rFonts w:ascii="黑体" w:eastAsia="黑体" w:hAnsi="黑体"/>
          <w:sz w:val="32"/>
          <w:szCs w:val="32"/>
        </w:rPr>
      </w:pPr>
      <w:r>
        <w:rPr>
          <w:rFonts w:ascii="黑体" w:eastAsia="黑体" w:hAnsi="黑体" w:hint="eastAsia"/>
          <w:sz w:val="32"/>
          <w:szCs w:val="32"/>
        </w:rPr>
        <w:lastRenderedPageBreak/>
        <w:t>（二）以安全为核心，兼顾绿色低碳和智能化发展</w:t>
      </w:r>
    </w:p>
    <w:p w14:paraId="1935F90A"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氢能产业的高效发展必须以安全为前提，标准体系需涵盖氢能制取、储存、运输、加注及终端应用的全过程安全规范，建立风险评估、监测预警和应急管理机制。同时，氢能作为实现“双碳”目标的关键路径，标准体系应强化绿色低碳要求，推动可再生能源制氢（绿氢）标准化，并探索氢能产业与数字化、智能化技术的融合，如智能加氢站、氢能大数据监测等，提升产业运行效率和</w:t>
      </w:r>
      <w:proofErr w:type="gramStart"/>
      <w:r>
        <w:rPr>
          <w:rFonts w:ascii="仿宋" w:eastAsia="仿宋" w:hAnsi="仿宋" w:hint="eastAsia"/>
          <w:sz w:val="32"/>
          <w:szCs w:val="32"/>
        </w:rPr>
        <w:t>可</w:t>
      </w:r>
      <w:proofErr w:type="gramEnd"/>
      <w:r>
        <w:rPr>
          <w:rFonts w:ascii="仿宋" w:eastAsia="仿宋" w:hAnsi="仿宋" w:hint="eastAsia"/>
          <w:sz w:val="32"/>
          <w:szCs w:val="32"/>
        </w:rPr>
        <w:t>追溯能力。</w:t>
      </w:r>
    </w:p>
    <w:p w14:paraId="469FAAF5" w14:textId="77777777" w:rsidR="00900CA3" w:rsidRDefault="00E77970">
      <w:pPr>
        <w:rPr>
          <w:rFonts w:ascii="黑体" w:eastAsia="黑体" w:hAnsi="黑体"/>
          <w:sz w:val="32"/>
          <w:szCs w:val="32"/>
        </w:rPr>
      </w:pPr>
      <w:r>
        <w:rPr>
          <w:rFonts w:ascii="黑体" w:eastAsia="黑体" w:hAnsi="黑体" w:hint="eastAsia"/>
          <w:sz w:val="32"/>
          <w:szCs w:val="32"/>
        </w:rPr>
        <w:t>（三）立足大连产业基础，突出区域特色和优势</w:t>
      </w:r>
    </w:p>
    <w:p w14:paraId="766E46ED" w14:textId="36F29823" w:rsidR="00900CA3" w:rsidRDefault="00E77970">
      <w:pPr>
        <w:ind w:firstLineChars="200" w:firstLine="640"/>
        <w:rPr>
          <w:rFonts w:ascii="仿宋" w:eastAsia="仿宋" w:hAnsi="仿宋"/>
          <w:sz w:val="32"/>
          <w:szCs w:val="32"/>
        </w:rPr>
      </w:pPr>
      <w:r>
        <w:rPr>
          <w:rFonts w:ascii="仿宋" w:eastAsia="仿宋" w:hAnsi="仿宋" w:hint="eastAsia"/>
          <w:sz w:val="32"/>
          <w:szCs w:val="32"/>
        </w:rPr>
        <w:t>大连市在氢能产业链上具备港口物流、副产氢</w:t>
      </w:r>
      <w:r w:rsidR="00261A35">
        <w:rPr>
          <w:rFonts w:ascii="仿宋" w:eastAsia="仿宋" w:hAnsi="仿宋" w:hint="eastAsia"/>
          <w:sz w:val="32"/>
          <w:szCs w:val="32"/>
        </w:rPr>
        <w:t>资源</w:t>
      </w:r>
      <w:r>
        <w:rPr>
          <w:rFonts w:ascii="仿宋" w:eastAsia="仿宋" w:hAnsi="仿宋" w:hint="eastAsia"/>
          <w:sz w:val="32"/>
          <w:szCs w:val="32"/>
        </w:rPr>
        <w:t>、燃料电池</w:t>
      </w:r>
      <w:r w:rsidR="00C0289A">
        <w:rPr>
          <w:rFonts w:ascii="仿宋" w:eastAsia="仿宋" w:hAnsi="仿宋" w:hint="eastAsia"/>
          <w:sz w:val="32"/>
          <w:szCs w:val="32"/>
        </w:rPr>
        <w:t>及电解槽</w:t>
      </w:r>
      <w:bookmarkStart w:id="5" w:name="_GoBack"/>
      <w:bookmarkEnd w:id="5"/>
      <w:r>
        <w:rPr>
          <w:rFonts w:ascii="仿宋" w:eastAsia="仿宋" w:hAnsi="仿宋" w:hint="eastAsia"/>
          <w:sz w:val="32"/>
          <w:szCs w:val="32"/>
        </w:rPr>
        <w:t>研发等优势，标准体系建设需结合本地产业特点，重点围绕工业副产氢提纯、海上风电制氢、固态储氢技术、氢燃料电池、氢能船舶、</w:t>
      </w:r>
      <w:proofErr w:type="gramStart"/>
      <w:r>
        <w:rPr>
          <w:rFonts w:ascii="仿宋" w:eastAsia="仿宋" w:hAnsi="仿宋" w:hint="eastAsia"/>
          <w:sz w:val="32"/>
          <w:szCs w:val="32"/>
        </w:rPr>
        <w:t>氢能重卡等</w:t>
      </w:r>
      <w:proofErr w:type="gramEnd"/>
      <w:r>
        <w:rPr>
          <w:rFonts w:ascii="仿宋" w:eastAsia="仿宋" w:hAnsi="仿宋" w:hint="eastAsia"/>
          <w:sz w:val="32"/>
          <w:szCs w:val="32"/>
        </w:rPr>
        <w:t>特色应用场景，开展适用性研究和技术路线比选，制定符合大连氢能发展需求的标准，助力打造具有区域竞争力的氢能产业集群。</w:t>
      </w:r>
    </w:p>
    <w:p w14:paraId="7FA3EEB3" w14:textId="77777777" w:rsidR="00900CA3" w:rsidRDefault="00E77970">
      <w:pPr>
        <w:rPr>
          <w:rFonts w:ascii="黑体" w:eastAsia="黑体" w:hAnsi="黑体"/>
          <w:sz w:val="32"/>
          <w:szCs w:val="32"/>
        </w:rPr>
      </w:pPr>
      <w:r>
        <w:rPr>
          <w:rFonts w:ascii="黑体" w:eastAsia="黑体" w:hAnsi="黑体" w:hint="eastAsia"/>
          <w:sz w:val="32"/>
          <w:szCs w:val="32"/>
        </w:rPr>
        <w:t>（四）强化协同，推动跨行业、跨领域标准衔接</w:t>
      </w:r>
    </w:p>
    <w:p w14:paraId="4F094BED"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氢能产业涉及能源、化工、交通、装备制造等多个领域，标准体系建设需加强跨行业协调，确保氢能标准与现有国家标准、行业标准（如能源、危化品管理、交通等）有效衔接，避免标准冲突或重复建设。同时，结合大连在装备制造、新能源等领域的产业基础，推动氢能标准与相关产业标准协同发展，形成完整的标准化支撑体系。</w:t>
      </w:r>
    </w:p>
    <w:p w14:paraId="32B2A987"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lastRenderedPageBreak/>
        <w:t>标准体系的编制过程</w:t>
      </w:r>
    </w:p>
    <w:p w14:paraId="0B1E5F23"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为了落实市委市政府的工作部署，结合中共大连市委办公室、大连市人民政府办公室印发的《大连市加快培育氢能产业发展指导意见》的要求，根据《大连市氢能产业发展规划（2024-2035年）》《大连市氢能产业发展专项资金管理办法》《大连市战略性新兴产业发展“十四五”规划》等有关计划和指示，加快推进“科技创新-标准化-产业化”进程，充分发挥大连市氢能产业的区位和创新优势，以标准化引领产业高质量发展，在大连市科学技术局和大连市市场监督管理局的指导下大连标准认证研究院启动了《大连市氢能产业标准体系》的编制工作。</w:t>
      </w:r>
    </w:p>
    <w:p w14:paraId="273472F2"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在标准体系编制过程中，成立了专门的项目工作组，同事联合我市科研院所、行业协会、龙头企业等相关领域专家，共同开展氢能产业标准体系的研究及编制工作。</w:t>
      </w:r>
    </w:p>
    <w:p w14:paraId="222A6E5B" w14:textId="703EECA6" w:rsidR="00900CA3" w:rsidRDefault="00E77970">
      <w:pPr>
        <w:ind w:firstLineChars="200" w:firstLine="640"/>
        <w:rPr>
          <w:rFonts w:ascii="仿宋" w:eastAsia="仿宋" w:hAnsi="仿宋"/>
          <w:sz w:val="32"/>
          <w:szCs w:val="32"/>
        </w:rPr>
      </w:pPr>
      <w:r>
        <w:rPr>
          <w:rFonts w:ascii="仿宋" w:eastAsia="仿宋" w:hAnsi="仿宋" w:hint="eastAsia"/>
          <w:sz w:val="32"/>
          <w:szCs w:val="32"/>
        </w:rPr>
        <w:t>研究和编制工作主要通过国内公开信息搜集和梳理、企业走访和调研、行业技术交流、专家访谈等多种方式结合的方法，对大连市氢能产业标准化现状及产业发展趋势进行研究和梳理，通过对比分析国内相关标准及法律法规、</w:t>
      </w:r>
      <w:proofErr w:type="gramStart"/>
      <w:r>
        <w:rPr>
          <w:rFonts w:ascii="仿宋" w:eastAsia="仿宋" w:hAnsi="仿宋" w:hint="eastAsia"/>
          <w:sz w:val="32"/>
          <w:szCs w:val="32"/>
        </w:rPr>
        <w:t>分析全</w:t>
      </w:r>
      <w:proofErr w:type="gramEnd"/>
      <w:r>
        <w:rPr>
          <w:rFonts w:ascii="仿宋" w:eastAsia="仿宋" w:hAnsi="仿宋" w:hint="eastAsia"/>
          <w:sz w:val="32"/>
          <w:szCs w:val="32"/>
        </w:rPr>
        <w:t>产业链逻辑结果和氢能产业结构，确定了我市氢能产业标准体系建设的基本思路。体系建设过程中，我们与市科技局、市</w:t>
      </w:r>
      <w:r w:rsidR="00261A35">
        <w:rPr>
          <w:rFonts w:ascii="仿宋" w:eastAsia="仿宋" w:hAnsi="仿宋" w:hint="eastAsia"/>
          <w:sz w:val="32"/>
          <w:szCs w:val="32"/>
        </w:rPr>
        <w:t>市场监督管理局、大连市氢能协会、大连化物所、大连理工大学、大连海事大学</w:t>
      </w:r>
      <w:r>
        <w:rPr>
          <w:rFonts w:ascii="仿宋" w:eastAsia="仿宋" w:hAnsi="仿宋" w:hint="eastAsia"/>
          <w:sz w:val="32"/>
          <w:szCs w:val="32"/>
        </w:rPr>
        <w:t>等相关组织进行了多次的交流与讨论，</w:t>
      </w:r>
      <w:r>
        <w:rPr>
          <w:rFonts w:ascii="仿宋" w:eastAsia="仿宋" w:hAnsi="仿宋" w:hint="eastAsia"/>
          <w:sz w:val="32"/>
          <w:szCs w:val="32"/>
        </w:rPr>
        <w:lastRenderedPageBreak/>
        <w:t>同时对</w:t>
      </w:r>
      <w:proofErr w:type="gramStart"/>
      <w:r>
        <w:rPr>
          <w:rFonts w:ascii="仿宋" w:eastAsia="仿宋" w:hAnsi="仿宋" w:hint="eastAsia"/>
          <w:sz w:val="32"/>
          <w:szCs w:val="32"/>
        </w:rPr>
        <w:t>洺</w:t>
      </w:r>
      <w:proofErr w:type="gramEnd"/>
      <w:r>
        <w:rPr>
          <w:rFonts w:ascii="仿宋" w:eastAsia="仿宋" w:hAnsi="仿宋" w:hint="eastAsia"/>
          <w:sz w:val="32"/>
          <w:szCs w:val="32"/>
        </w:rPr>
        <w:t>源科技、国创氢能、新源动力、新</w:t>
      </w:r>
      <w:proofErr w:type="gramStart"/>
      <w:r>
        <w:rPr>
          <w:rFonts w:ascii="仿宋" w:eastAsia="仿宋" w:hAnsi="仿宋" w:hint="eastAsia"/>
          <w:sz w:val="32"/>
          <w:szCs w:val="32"/>
        </w:rPr>
        <w:t>研</w:t>
      </w:r>
      <w:proofErr w:type="gramEnd"/>
      <w:r>
        <w:rPr>
          <w:rFonts w:ascii="仿宋" w:eastAsia="仿宋" w:hAnsi="仿宋" w:hint="eastAsia"/>
          <w:sz w:val="32"/>
          <w:szCs w:val="32"/>
        </w:rPr>
        <w:t>氢启、大连宇科、中石化大连院等重点氢能企业通过实地调研等方式就标准体系建设及相关标准制定进行了深入的沟通和交流，保证了标准体系的适用性和后续实施的有效性。</w:t>
      </w:r>
    </w:p>
    <w:p w14:paraId="50D854A0"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经过多次专题调研、讨论、座谈和内部研讨，共同确定了大连市氢能产业标准体系建设的总体要求、标准体系框架图、子体系构建内容、编号规则、标准明细表等相关内容，于2025年5月形成了《大连市氢能产业标准体系》（征求意见稿）。</w:t>
      </w:r>
    </w:p>
    <w:p w14:paraId="1633677A"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标准体系内容及近期重点工作</w:t>
      </w:r>
    </w:p>
    <w:p w14:paraId="4D1575A2" w14:textId="21CEE802" w:rsidR="00900CA3" w:rsidRDefault="00A4298B">
      <w:pPr>
        <w:pStyle w:val="a9"/>
        <w:numPr>
          <w:ilvl w:val="0"/>
          <w:numId w:val="2"/>
        </w:numPr>
        <w:spacing w:beforeLines="50" w:before="156" w:afterLines="50" w:after="156"/>
        <w:rPr>
          <w:rFonts w:ascii="黑体" w:eastAsia="黑体" w:hAnsi="黑体"/>
          <w:sz w:val="32"/>
          <w:szCs w:val="32"/>
        </w:rPr>
      </w:pPr>
      <w:r>
        <w:rPr>
          <w:rFonts w:ascii="黑体" w:eastAsia="黑体" w:hAnsi="黑体" w:hint="eastAsia"/>
          <w:sz w:val="32"/>
          <w:szCs w:val="32"/>
        </w:rPr>
        <w:t>标准体系</w:t>
      </w:r>
    </w:p>
    <w:p w14:paraId="563C4FB9" w14:textId="37192705" w:rsidR="00A4298B" w:rsidRPr="00A4298B" w:rsidRDefault="00A4298B" w:rsidP="00A4298B">
      <w:pPr>
        <w:pStyle w:val="a9"/>
        <w:spacing w:beforeLines="50" w:before="156" w:afterLines="50" w:after="156"/>
        <w:ind w:left="0" w:firstLineChars="200" w:firstLine="640"/>
        <w:rPr>
          <w:rFonts w:ascii="仿宋" w:eastAsia="仿宋" w:hAnsi="仿宋"/>
          <w:sz w:val="32"/>
          <w:szCs w:val="32"/>
        </w:rPr>
      </w:pPr>
      <w:r w:rsidRPr="00A4298B">
        <w:rPr>
          <w:rFonts w:ascii="仿宋" w:eastAsia="仿宋" w:hAnsi="仿宋" w:hint="eastAsia"/>
          <w:sz w:val="32"/>
          <w:szCs w:val="32"/>
        </w:rPr>
        <w:t>大连市氢能产业标准体系的构建主要依据国家《指南》架构，在部分子体系依据大连市氢能产业发展规划及产业特点删除或新增细化了部分内容，同时将氢能检测和产业管理与服务单独列为子体系，以突出产业支撑作用。</w:t>
      </w:r>
    </w:p>
    <w:p w14:paraId="6711A5BB" w14:textId="77777777" w:rsidR="00900CA3" w:rsidRPr="00A4298B" w:rsidRDefault="00E77970">
      <w:pPr>
        <w:pStyle w:val="a9"/>
        <w:numPr>
          <w:ilvl w:val="0"/>
          <w:numId w:val="2"/>
        </w:numPr>
        <w:spacing w:beforeLines="50" w:before="156" w:afterLines="50" w:after="156"/>
        <w:rPr>
          <w:rFonts w:ascii="黑体" w:eastAsia="黑体" w:hAnsi="黑体"/>
          <w:sz w:val="32"/>
          <w:szCs w:val="32"/>
        </w:rPr>
      </w:pPr>
      <w:r w:rsidRPr="00A4298B">
        <w:rPr>
          <w:rFonts w:ascii="黑体" w:eastAsia="黑体" w:hAnsi="黑体" w:hint="eastAsia"/>
          <w:sz w:val="32"/>
          <w:szCs w:val="32"/>
        </w:rPr>
        <w:t>数据分析</w:t>
      </w:r>
    </w:p>
    <w:p w14:paraId="0E527D4F" w14:textId="1FEC2B3D" w:rsidR="00900CA3" w:rsidRPr="00AE49B7" w:rsidRDefault="00E77970" w:rsidP="00261A35">
      <w:pPr>
        <w:ind w:firstLineChars="200" w:firstLine="640"/>
        <w:rPr>
          <w:rFonts w:ascii="仿宋" w:eastAsia="仿宋" w:hAnsi="仿宋"/>
          <w:sz w:val="32"/>
          <w:szCs w:val="32"/>
        </w:rPr>
      </w:pPr>
      <w:r w:rsidRPr="00AE49B7">
        <w:rPr>
          <w:rFonts w:ascii="仿宋" w:eastAsia="仿宋" w:hAnsi="仿宋" w:hint="eastAsia"/>
          <w:sz w:val="32"/>
          <w:szCs w:val="32"/>
        </w:rPr>
        <w:t>本标准体系包括标准</w:t>
      </w:r>
      <w:r w:rsidR="0077559D" w:rsidRPr="00AE49B7">
        <w:rPr>
          <w:rFonts w:ascii="仿宋" w:eastAsia="仿宋" w:hAnsi="仿宋" w:hint="eastAsia"/>
          <w:sz w:val="32"/>
          <w:szCs w:val="32"/>
        </w:rPr>
        <w:t>273</w:t>
      </w:r>
      <w:r w:rsidRPr="00AE49B7">
        <w:rPr>
          <w:rFonts w:ascii="仿宋" w:eastAsia="仿宋" w:hAnsi="仿宋" w:hint="eastAsia"/>
          <w:sz w:val="32"/>
          <w:szCs w:val="32"/>
        </w:rPr>
        <w:t>项，涉及基础与安全、氢制取、氢储运、氢加注、氢能应用、氢能检测、</w:t>
      </w:r>
      <w:r w:rsidR="003E3CC5" w:rsidRPr="00AE49B7">
        <w:rPr>
          <w:rFonts w:ascii="仿宋" w:eastAsia="仿宋" w:hAnsi="仿宋" w:hint="eastAsia"/>
          <w:sz w:val="32"/>
          <w:szCs w:val="32"/>
        </w:rPr>
        <w:t>产业管理与服务</w:t>
      </w:r>
      <w:r w:rsidRPr="00AE49B7">
        <w:rPr>
          <w:rFonts w:ascii="仿宋" w:eastAsia="仿宋" w:hAnsi="仿宋" w:hint="eastAsia"/>
          <w:sz w:val="32"/>
          <w:szCs w:val="32"/>
        </w:rPr>
        <w:t>。通过对标准统计表中相关数据进行分析，从各子体系标准占比、各类型标准占比、</w:t>
      </w:r>
      <w:proofErr w:type="gramStart"/>
      <w:r w:rsidRPr="00AE49B7">
        <w:rPr>
          <w:rFonts w:ascii="仿宋" w:eastAsia="仿宋" w:hAnsi="仿宋" w:hint="eastAsia"/>
          <w:sz w:val="32"/>
          <w:szCs w:val="32"/>
        </w:rPr>
        <w:t>待制定</w:t>
      </w:r>
      <w:proofErr w:type="gramEnd"/>
      <w:r w:rsidRPr="00AE49B7">
        <w:rPr>
          <w:rFonts w:ascii="仿宋" w:eastAsia="仿宋" w:hAnsi="仿宋" w:hint="eastAsia"/>
          <w:sz w:val="32"/>
          <w:szCs w:val="32"/>
        </w:rPr>
        <w:t>标准占比等方面进行分析得知，在本体系内氢能检测标准子体系内标准数量最多，</w:t>
      </w:r>
      <w:r w:rsidR="00AE49B7" w:rsidRPr="00AE49B7">
        <w:rPr>
          <w:rFonts w:ascii="仿宋" w:eastAsia="仿宋" w:hAnsi="仿宋" w:hint="eastAsia"/>
          <w:sz w:val="32"/>
          <w:szCs w:val="32"/>
        </w:rPr>
        <w:t>共计84项，</w:t>
      </w:r>
      <w:r w:rsidRPr="00AE49B7">
        <w:rPr>
          <w:rFonts w:ascii="仿宋" w:eastAsia="仿宋" w:hAnsi="仿宋" w:hint="eastAsia"/>
          <w:sz w:val="32"/>
          <w:szCs w:val="32"/>
        </w:rPr>
        <w:t>占比达到</w:t>
      </w:r>
      <w:r w:rsidR="00AE49B7" w:rsidRPr="00AE49B7">
        <w:rPr>
          <w:rFonts w:ascii="仿宋" w:eastAsia="仿宋" w:hAnsi="仿宋" w:hint="eastAsia"/>
          <w:sz w:val="32"/>
          <w:szCs w:val="32"/>
        </w:rPr>
        <w:t>30</w:t>
      </w:r>
      <w:r w:rsidRPr="00AE49B7">
        <w:rPr>
          <w:rFonts w:ascii="仿宋" w:eastAsia="仿宋" w:hAnsi="仿宋" w:hint="eastAsia"/>
          <w:sz w:val="32"/>
          <w:szCs w:val="32"/>
        </w:rPr>
        <w:t>.</w:t>
      </w:r>
      <w:r w:rsidR="00AE49B7" w:rsidRPr="00AE49B7">
        <w:rPr>
          <w:rFonts w:ascii="仿宋" w:eastAsia="仿宋" w:hAnsi="仿宋" w:hint="eastAsia"/>
          <w:sz w:val="32"/>
          <w:szCs w:val="32"/>
        </w:rPr>
        <w:t>7</w:t>
      </w:r>
      <w:r w:rsidRPr="00AE49B7">
        <w:rPr>
          <w:rFonts w:ascii="仿宋" w:eastAsia="仿宋" w:hAnsi="仿宋" w:hint="eastAsia"/>
          <w:sz w:val="32"/>
          <w:szCs w:val="32"/>
        </w:rPr>
        <w:t>0%；</w:t>
      </w:r>
      <w:r w:rsidR="00AE49B7" w:rsidRPr="00AE49B7">
        <w:rPr>
          <w:rFonts w:ascii="仿宋" w:eastAsia="仿宋" w:hAnsi="仿宋" w:hint="eastAsia"/>
          <w:sz w:val="32"/>
          <w:szCs w:val="32"/>
        </w:rPr>
        <w:t>按标准类型统计可知其中</w:t>
      </w:r>
      <w:r w:rsidRPr="00AE49B7">
        <w:rPr>
          <w:rFonts w:ascii="仿宋" w:eastAsia="仿宋" w:hAnsi="仿宋" w:hint="eastAsia"/>
          <w:sz w:val="32"/>
          <w:szCs w:val="32"/>
        </w:rPr>
        <w:t>国家标准</w:t>
      </w:r>
      <w:r w:rsidR="00CB0142" w:rsidRPr="00AE49B7">
        <w:rPr>
          <w:rFonts w:ascii="仿宋" w:eastAsia="仿宋" w:hAnsi="仿宋" w:hint="eastAsia"/>
          <w:sz w:val="32"/>
          <w:szCs w:val="32"/>
        </w:rPr>
        <w:lastRenderedPageBreak/>
        <w:t>182项</w:t>
      </w:r>
      <w:r w:rsidRPr="00AE49B7">
        <w:rPr>
          <w:rFonts w:ascii="仿宋" w:eastAsia="仿宋" w:hAnsi="仿宋" w:hint="eastAsia"/>
          <w:sz w:val="32"/>
          <w:szCs w:val="32"/>
        </w:rPr>
        <w:t>，</w:t>
      </w:r>
      <w:r w:rsidR="00CB0142" w:rsidRPr="00AE49B7">
        <w:rPr>
          <w:rFonts w:ascii="仿宋" w:eastAsia="仿宋" w:hAnsi="仿宋" w:hint="eastAsia"/>
          <w:sz w:val="32"/>
          <w:szCs w:val="32"/>
        </w:rPr>
        <w:t>行业标准50项，地方标准3项，团体标准38项。</w:t>
      </w:r>
    </w:p>
    <w:p w14:paraId="76982F40" w14:textId="77777777" w:rsidR="00900CA3" w:rsidRDefault="00E77970">
      <w:pPr>
        <w:pStyle w:val="a9"/>
        <w:numPr>
          <w:ilvl w:val="0"/>
          <w:numId w:val="2"/>
        </w:numPr>
        <w:spacing w:beforeLines="50" w:before="156" w:afterLines="50" w:after="156"/>
        <w:rPr>
          <w:rFonts w:ascii="黑体" w:eastAsia="黑体" w:hAnsi="黑体"/>
          <w:sz w:val="32"/>
          <w:szCs w:val="32"/>
        </w:rPr>
      </w:pPr>
      <w:r>
        <w:rPr>
          <w:rFonts w:ascii="黑体" w:eastAsia="黑体" w:hAnsi="黑体" w:hint="eastAsia"/>
          <w:sz w:val="32"/>
          <w:szCs w:val="32"/>
        </w:rPr>
        <w:t>近期重点工作</w:t>
      </w:r>
    </w:p>
    <w:p w14:paraId="475994DF" w14:textId="4EE3D452" w:rsidR="00900CA3" w:rsidRDefault="00E77970">
      <w:pPr>
        <w:ind w:firstLineChars="200" w:firstLine="640"/>
        <w:rPr>
          <w:rFonts w:ascii="仿宋" w:eastAsia="仿宋" w:hAnsi="仿宋"/>
          <w:sz w:val="32"/>
          <w:szCs w:val="32"/>
        </w:rPr>
      </w:pPr>
      <w:r>
        <w:rPr>
          <w:rFonts w:ascii="仿宋" w:eastAsia="仿宋" w:hAnsi="仿宋" w:hint="eastAsia"/>
          <w:sz w:val="32"/>
          <w:szCs w:val="32"/>
        </w:rPr>
        <w:t>综合考虑我市氢能产业发展趋势和产业基础，未来3～5年主要在以下方面开展标准制定：一是氢安全风险评估、</w:t>
      </w:r>
      <w:proofErr w:type="gramStart"/>
      <w:r>
        <w:rPr>
          <w:rFonts w:ascii="仿宋" w:eastAsia="仿宋" w:hAnsi="仿宋" w:hint="eastAsia"/>
          <w:sz w:val="32"/>
          <w:szCs w:val="32"/>
        </w:rPr>
        <w:t>氢综合</w:t>
      </w:r>
      <w:proofErr w:type="gramEnd"/>
      <w:r>
        <w:rPr>
          <w:rFonts w:ascii="仿宋" w:eastAsia="仿宋" w:hAnsi="仿宋" w:hint="eastAsia"/>
          <w:sz w:val="32"/>
          <w:szCs w:val="32"/>
        </w:rPr>
        <w:t>评价等基础与安全类标准；二是清洁能源制氢、制氢关键材料和零部件水电解制氢</w:t>
      </w:r>
      <w:proofErr w:type="gramStart"/>
      <w:r>
        <w:rPr>
          <w:rFonts w:ascii="仿宋" w:eastAsia="仿宋" w:hAnsi="仿宋" w:hint="eastAsia"/>
          <w:sz w:val="32"/>
          <w:szCs w:val="32"/>
        </w:rPr>
        <w:t>装置等氢制氢</w:t>
      </w:r>
      <w:proofErr w:type="gramEnd"/>
      <w:r>
        <w:rPr>
          <w:rFonts w:ascii="仿宋" w:eastAsia="仿宋" w:hAnsi="仿宋" w:hint="eastAsia"/>
          <w:sz w:val="32"/>
          <w:szCs w:val="32"/>
        </w:rPr>
        <w:t>类标准；三是氢气压缩、固态</w:t>
      </w:r>
      <w:proofErr w:type="gramStart"/>
      <w:r>
        <w:rPr>
          <w:rFonts w:ascii="仿宋" w:eastAsia="仿宋" w:hAnsi="仿宋" w:hint="eastAsia"/>
          <w:sz w:val="32"/>
          <w:szCs w:val="32"/>
        </w:rPr>
        <w:t>储氢等氢储运</w:t>
      </w:r>
      <w:proofErr w:type="gramEnd"/>
      <w:r>
        <w:rPr>
          <w:rFonts w:ascii="仿宋" w:eastAsia="仿宋" w:hAnsi="仿宋" w:hint="eastAsia"/>
          <w:sz w:val="32"/>
          <w:szCs w:val="32"/>
        </w:rPr>
        <w:t>类标准；四是站用氢气压缩机、阀门和管件、站用储氢</w:t>
      </w:r>
      <w:proofErr w:type="gramStart"/>
      <w:r>
        <w:rPr>
          <w:rFonts w:ascii="仿宋" w:eastAsia="仿宋" w:hAnsi="仿宋" w:hint="eastAsia"/>
          <w:sz w:val="32"/>
          <w:szCs w:val="32"/>
        </w:rPr>
        <w:t>容器等氢加注</w:t>
      </w:r>
      <w:proofErr w:type="gramEnd"/>
      <w:r>
        <w:rPr>
          <w:rFonts w:ascii="仿宋" w:eastAsia="仿宋" w:hAnsi="仿宋" w:hint="eastAsia"/>
          <w:sz w:val="32"/>
          <w:szCs w:val="32"/>
        </w:rPr>
        <w:t>标准；五是氢内燃机、燃料电池等应用基础标准；在车辆、船舶、轨道交通、飞行器等领域上的交通应用，以及在储能和发电上的应用标准；六是在制氢材料、储氢材料及车辆测试等方面的标准；七是在产业管理和产业支撑上的标准。本体系梳理的待</w:t>
      </w:r>
      <w:r w:rsidR="00AE49B7">
        <w:rPr>
          <w:rFonts w:ascii="仿宋" w:eastAsia="仿宋" w:hAnsi="仿宋" w:hint="eastAsia"/>
          <w:sz w:val="32"/>
          <w:szCs w:val="32"/>
        </w:rPr>
        <w:t>（在）</w:t>
      </w:r>
      <w:r>
        <w:rPr>
          <w:rFonts w:ascii="仿宋" w:eastAsia="仿宋" w:hAnsi="仿宋" w:hint="eastAsia"/>
          <w:sz w:val="32"/>
          <w:szCs w:val="32"/>
        </w:rPr>
        <w:t>制定目录详见表</w:t>
      </w:r>
      <w:r w:rsidR="00D8789B">
        <w:rPr>
          <w:rFonts w:ascii="仿宋" w:eastAsia="仿宋" w:hAnsi="仿宋" w:hint="eastAsia"/>
          <w:sz w:val="32"/>
          <w:szCs w:val="32"/>
        </w:rPr>
        <w:t>1</w:t>
      </w:r>
      <w:r>
        <w:rPr>
          <w:rFonts w:ascii="仿宋" w:eastAsia="仿宋" w:hAnsi="仿宋" w:hint="eastAsia"/>
          <w:sz w:val="32"/>
          <w:szCs w:val="32"/>
        </w:rPr>
        <w:t>。</w:t>
      </w:r>
    </w:p>
    <w:p w14:paraId="7BF3216A" w14:textId="7D6E2DB6" w:rsidR="00B70567" w:rsidRPr="00D8789B" w:rsidRDefault="00E77970" w:rsidP="00D8789B">
      <w:pPr>
        <w:spacing w:beforeLines="50" w:before="156"/>
        <w:jc w:val="center"/>
        <w:rPr>
          <w:rFonts w:ascii="黑体" w:eastAsia="黑体" w:hAnsi="黑体"/>
          <w:sz w:val="28"/>
          <w:szCs w:val="28"/>
        </w:rPr>
      </w:pPr>
      <w:r w:rsidRPr="00D8789B">
        <w:rPr>
          <w:rFonts w:ascii="黑体" w:eastAsia="黑体" w:hAnsi="黑体" w:hint="eastAsia"/>
          <w:sz w:val="28"/>
          <w:szCs w:val="28"/>
        </w:rPr>
        <w:t>表</w:t>
      </w:r>
      <w:r w:rsidR="00D8789B">
        <w:rPr>
          <w:rFonts w:ascii="黑体" w:eastAsia="黑体" w:hAnsi="黑体" w:hint="eastAsia"/>
          <w:sz w:val="28"/>
          <w:szCs w:val="28"/>
        </w:rPr>
        <w:t>1</w:t>
      </w:r>
      <w:r w:rsidRPr="00D8789B">
        <w:rPr>
          <w:rFonts w:ascii="黑体" w:eastAsia="黑体" w:hAnsi="黑体" w:hint="eastAsia"/>
          <w:sz w:val="28"/>
          <w:szCs w:val="28"/>
        </w:rPr>
        <w:t xml:space="preserve"> 待</w:t>
      </w:r>
      <w:r w:rsidR="00AE49B7" w:rsidRPr="00D8789B">
        <w:rPr>
          <w:rFonts w:ascii="黑体" w:eastAsia="黑体" w:hAnsi="黑体" w:hint="eastAsia"/>
          <w:sz w:val="28"/>
          <w:szCs w:val="28"/>
        </w:rPr>
        <w:t>（在）</w:t>
      </w:r>
      <w:r w:rsidRPr="00D8789B">
        <w:rPr>
          <w:rFonts w:ascii="黑体" w:eastAsia="黑体" w:hAnsi="黑体" w:hint="eastAsia"/>
          <w:sz w:val="28"/>
          <w:szCs w:val="28"/>
        </w:rPr>
        <w:t>制定标准目录</w:t>
      </w:r>
    </w:p>
    <w:tbl>
      <w:tblPr>
        <w:tblStyle w:val="a7"/>
        <w:tblW w:w="5000" w:type="pct"/>
        <w:tblLook w:val="04A0" w:firstRow="1" w:lastRow="0" w:firstColumn="1" w:lastColumn="0" w:noHBand="0" w:noVBand="1"/>
      </w:tblPr>
      <w:tblGrid>
        <w:gridCol w:w="969"/>
        <w:gridCol w:w="3990"/>
        <w:gridCol w:w="1710"/>
        <w:gridCol w:w="1853"/>
      </w:tblGrid>
      <w:tr w:rsidR="00900CA3" w:rsidRPr="00D8789B" w14:paraId="3BAE4DD5" w14:textId="77777777" w:rsidTr="00D8789B">
        <w:trPr>
          <w:cantSplit/>
          <w:trHeight w:val="567"/>
          <w:tblHeader/>
        </w:trPr>
        <w:tc>
          <w:tcPr>
            <w:tcW w:w="569" w:type="pct"/>
            <w:vAlign w:val="center"/>
          </w:tcPr>
          <w:p w14:paraId="6F6AC54F" w14:textId="77777777" w:rsidR="00900CA3" w:rsidRPr="00D8789B" w:rsidRDefault="00E77970" w:rsidP="00D8789B">
            <w:pPr>
              <w:jc w:val="center"/>
              <w:rPr>
                <w:rFonts w:asciiTheme="minorEastAsia" w:hAnsiTheme="minorEastAsia"/>
                <w:bCs/>
                <w:sz w:val="18"/>
                <w:szCs w:val="18"/>
              </w:rPr>
            </w:pPr>
            <w:r w:rsidRPr="00D8789B">
              <w:rPr>
                <w:rFonts w:asciiTheme="minorEastAsia" w:hAnsiTheme="minorEastAsia" w:hint="eastAsia"/>
                <w:bCs/>
                <w:sz w:val="18"/>
                <w:szCs w:val="18"/>
              </w:rPr>
              <w:t>序号</w:t>
            </w:r>
          </w:p>
        </w:tc>
        <w:tc>
          <w:tcPr>
            <w:tcW w:w="2341" w:type="pct"/>
            <w:vAlign w:val="center"/>
          </w:tcPr>
          <w:p w14:paraId="6E205F5B" w14:textId="77777777" w:rsidR="00900CA3" w:rsidRPr="00D8789B" w:rsidRDefault="00E77970" w:rsidP="00D8789B">
            <w:pPr>
              <w:jc w:val="center"/>
              <w:rPr>
                <w:rFonts w:asciiTheme="minorEastAsia" w:hAnsiTheme="minorEastAsia"/>
                <w:bCs/>
                <w:sz w:val="18"/>
                <w:szCs w:val="18"/>
              </w:rPr>
            </w:pPr>
            <w:r w:rsidRPr="00D8789B">
              <w:rPr>
                <w:rFonts w:asciiTheme="minorEastAsia" w:hAnsiTheme="minorEastAsia" w:hint="eastAsia"/>
                <w:bCs/>
                <w:sz w:val="18"/>
                <w:szCs w:val="18"/>
              </w:rPr>
              <w:t>标准名称</w:t>
            </w:r>
          </w:p>
        </w:tc>
        <w:tc>
          <w:tcPr>
            <w:tcW w:w="1003" w:type="pct"/>
            <w:vAlign w:val="center"/>
          </w:tcPr>
          <w:p w14:paraId="6AF72968" w14:textId="77777777" w:rsidR="00900CA3" w:rsidRPr="00D8789B" w:rsidRDefault="00E77970" w:rsidP="00D8789B">
            <w:pPr>
              <w:jc w:val="center"/>
              <w:rPr>
                <w:rFonts w:asciiTheme="minorEastAsia" w:hAnsiTheme="minorEastAsia"/>
                <w:bCs/>
                <w:sz w:val="18"/>
                <w:szCs w:val="18"/>
              </w:rPr>
            </w:pPr>
            <w:r w:rsidRPr="00D8789B">
              <w:rPr>
                <w:rFonts w:asciiTheme="minorEastAsia" w:hAnsiTheme="minorEastAsia" w:hint="eastAsia"/>
                <w:bCs/>
                <w:sz w:val="18"/>
                <w:szCs w:val="18"/>
              </w:rPr>
              <w:t>标准类型</w:t>
            </w:r>
          </w:p>
        </w:tc>
        <w:tc>
          <w:tcPr>
            <w:tcW w:w="1087" w:type="pct"/>
            <w:vAlign w:val="center"/>
          </w:tcPr>
          <w:p w14:paraId="26FC64A8" w14:textId="77777777" w:rsidR="00900CA3" w:rsidRPr="00D8789B" w:rsidRDefault="00E77970" w:rsidP="00D8789B">
            <w:pPr>
              <w:jc w:val="center"/>
              <w:rPr>
                <w:rFonts w:asciiTheme="minorEastAsia" w:hAnsiTheme="minorEastAsia"/>
                <w:bCs/>
                <w:sz w:val="18"/>
                <w:szCs w:val="18"/>
              </w:rPr>
            </w:pPr>
            <w:r w:rsidRPr="00D8789B">
              <w:rPr>
                <w:rFonts w:asciiTheme="minorEastAsia" w:hAnsiTheme="minorEastAsia" w:hint="eastAsia"/>
                <w:bCs/>
                <w:sz w:val="18"/>
                <w:szCs w:val="18"/>
              </w:rPr>
              <w:t>子体系归属</w:t>
            </w:r>
          </w:p>
        </w:tc>
      </w:tr>
      <w:tr w:rsidR="002278D2" w:rsidRPr="00D8789B" w14:paraId="3D713303" w14:textId="77777777" w:rsidTr="00D8789B">
        <w:trPr>
          <w:cantSplit/>
          <w:trHeight w:val="567"/>
          <w:tblHeader/>
        </w:trPr>
        <w:tc>
          <w:tcPr>
            <w:tcW w:w="569" w:type="pct"/>
            <w:vAlign w:val="center"/>
          </w:tcPr>
          <w:p w14:paraId="3A60104B" w14:textId="29EA6535" w:rsidR="002278D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w:t>
            </w:r>
          </w:p>
        </w:tc>
        <w:tc>
          <w:tcPr>
            <w:tcW w:w="2341" w:type="pct"/>
            <w:vAlign w:val="center"/>
          </w:tcPr>
          <w:p w14:paraId="125DD0E9" w14:textId="4679B821"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氢气 第1部分： 工业氢</w:t>
            </w:r>
          </w:p>
        </w:tc>
        <w:tc>
          <w:tcPr>
            <w:tcW w:w="1003" w:type="pct"/>
            <w:vAlign w:val="center"/>
          </w:tcPr>
          <w:p w14:paraId="34242EF2" w14:textId="29BC054A"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国家标准</w:t>
            </w:r>
          </w:p>
        </w:tc>
        <w:tc>
          <w:tcPr>
            <w:tcW w:w="1087" w:type="pct"/>
            <w:vAlign w:val="center"/>
          </w:tcPr>
          <w:p w14:paraId="6B29CB82" w14:textId="2D23A1F4"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104</w:t>
            </w:r>
          </w:p>
        </w:tc>
      </w:tr>
      <w:tr w:rsidR="002278D2" w:rsidRPr="00D8789B" w14:paraId="0A944F92" w14:textId="77777777" w:rsidTr="00D8789B">
        <w:trPr>
          <w:cantSplit/>
          <w:trHeight w:val="567"/>
          <w:tblHeader/>
        </w:trPr>
        <w:tc>
          <w:tcPr>
            <w:tcW w:w="569" w:type="pct"/>
            <w:vAlign w:val="center"/>
          </w:tcPr>
          <w:p w14:paraId="4230C130" w14:textId="203971E8" w:rsidR="002278D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2</w:t>
            </w:r>
          </w:p>
        </w:tc>
        <w:tc>
          <w:tcPr>
            <w:tcW w:w="2341" w:type="pct"/>
            <w:vAlign w:val="center"/>
          </w:tcPr>
          <w:p w14:paraId="6370177E" w14:textId="26EEBD70"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氢气 第2部分： 纯氢、高纯氢和超纯氢</w:t>
            </w:r>
          </w:p>
        </w:tc>
        <w:tc>
          <w:tcPr>
            <w:tcW w:w="1003" w:type="pct"/>
            <w:vAlign w:val="center"/>
          </w:tcPr>
          <w:p w14:paraId="5E421A6F" w14:textId="7C5DBA4E"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国家标准</w:t>
            </w:r>
          </w:p>
        </w:tc>
        <w:tc>
          <w:tcPr>
            <w:tcW w:w="1087" w:type="pct"/>
            <w:vAlign w:val="center"/>
          </w:tcPr>
          <w:p w14:paraId="28FCF01D" w14:textId="32C144B6" w:rsidR="002278D2" w:rsidRPr="00D8789B" w:rsidRDefault="002278D2" w:rsidP="00D8789B">
            <w:pPr>
              <w:jc w:val="center"/>
              <w:rPr>
                <w:rFonts w:asciiTheme="minorEastAsia" w:hAnsiTheme="minorEastAsia"/>
                <w:bCs/>
                <w:sz w:val="18"/>
                <w:szCs w:val="18"/>
              </w:rPr>
            </w:pPr>
            <w:r w:rsidRPr="00D8789B">
              <w:rPr>
                <w:rFonts w:asciiTheme="minorEastAsia" w:hAnsiTheme="minorEastAsia" w:hint="eastAsia"/>
                <w:bCs/>
                <w:sz w:val="18"/>
                <w:szCs w:val="18"/>
              </w:rPr>
              <w:t>104</w:t>
            </w:r>
          </w:p>
        </w:tc>
      </w:tr>
      <w:tr w:rsidR="00B70567" w:rsidRPr="00D8789B" w14:paraId="3A780120" w14:textId="77777777" w:rsidTr="00D8789B">
        <w:trPr>
          <w:cantSplit/>
          <w:trHeight w:val="567"/>
          <w:tblHeader/>
        </w:trPr>
        <w:tc>
          <w:tcPr>
            <w:tcW w:w="569" w:type="pct"/>
            <w:vAlign w:val="center"/>
          </w:tcPr>
          <w:p w14:paraId="147446FC" w14:textId="56D387FA"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3</w:t>
            </w:r>
          </w:p>
        </w:tc>
        <w:tc>
          <w:tcPr>
            <w:tcW w:w="2341" w:type="pct"/>
            <w:vAlign w:val="center"/>
          </w:tcPr>
          <w:p w14:paraId="4BD3F56E" w14:textId="5136B4CB" w:rsidR="00B70567" w:rsidRPr="00D8789B" w:rsidRDefault="00B70567" w:rsidP="00D8789B">
            <w:pPr>
              <w:jc w:val="center"/>
              <w:rPr>
                <w:rFonts w:asciiTheme="minorEastAsia" w:hAnsiTheme="minorEastAsia"/>
                <w:bCs/>
                <w:sz w:val="18"/>
                <w:szCs w:val="18"/>
              </w:rPr>
            </w:pPr>
            <w:proofErr w:type="gramStart"/>
            <w:r w:rsidRPr="00D8789B">
              <w:rPr>
                <w:rFonts w:asciiTheme="minorEastAsia" w:hAnsiTheme="minorEastAsia" w:hint="eastAsia"/>
                <w:sz w:val="18"/>
                <w:szCs w:val="18"/>
              </w:rPr>
              <w:t>镁基固态</w:t>
            </w:r>
            <w:proofErr w:type="gramEnd"/>
            <w:r w:rsidRPr="00D8789B">
              <w:rPr>
                <w:rFonts w:asciiTheme="minorEastAsia" w:hAnsiTheme="minorEastAsia" w:hint="eastAsia"/>
                <w:sz w:val="18"/>
                <w:szCs w:val="18"/>
              </w:rPr>
              <w:t>储氢技术要求</w:t>
            </w:r>
          </w:p>
        </w:tc>
        <w:tc>
          <w:tcPr>
            <w:tcW w:w="1003" w:type="pct"/>
            <w:vAlign w:val="center"/>
          </w:tcPr>
          <w:p w14:paraId="1D7B6C88" w14:textId="3AC2B56D" w:rsidR="00B70567" w:rsidRPr="00D8789B" w:rsidRDefault="00B70567" w:rsidP="00D8789B">
            <w:pPr>
              <w:jc w:val="center"/>
              <w:rPr>
                <w:rFonts w:asciiTheme="minorEastAsia" w:hAnsiTheme="minorEastAsia"/>
                <w:bCs/>
                <w:sz w:val="18"/>
                <w:szCs w:val="18"/>
              </w:rPr>
            </w:pPr>
            <w:r w:rsidRPr="00D8789B">
              <w:rPr>
                <w:rFonts w:asciiTheme="minorEastAsia" w:hAnsiTheme="minorEastAsia" w:hint="eastAsia"/>
                <w:sz w:val="18"/>
                <w:szCs w:val="18"/>
              </w:rPr>
              <w:t>团体标准</w:t>
            </w:r>
          </w:p>
        </w:tc>
        <w:tc>
          <w:tcPr>
            <w:tcW w:w="1087" w:type="pct"/>
            <w:vAlign w:val="center"/>
          </w:tcPr>
          <w:p w14:paraId="22FF62A4" w14:textId="4A09CFD1" w:rsidR="00B70567" w:rsidRPr="00D8789B" w:rsidRDefault="00B70567" w:rsidP="00D8789B">
            <w:pPr>
              <w:jc w:val="center"/>
              <w:rPr>
                <w:rFonts w:asciiTheme="minorEastAsia" w:hAnsiTheme="minorEastAsia"/>
                <w:bCs/>
                <w:sz w:val="18"/>
                <w:szCs w:val="18"/>
              </w:rPr>
            </w:pPr>
            <w:r w:rsidRPr="00D8789B">
              <w:rPr>
                <w:rFonts w:asciiTheme="minorEastAsia" w:hAnsiTheme="minorEastAsia" w:hint="eastAsia"/>
                <w:sz w:val="18"/>
                <w:szCs w:val="18"/>
              </w:rPr>
              <w:t>301</w:t>
            </w:r>
          </w:p>
        </w:tc>
      </w:tr>
      <w:tr w:rsidR="00B70567" w:rsidRPr="00D8789B" w14:paraId="6FDB63FC" w14:textId="77777777" w:rsidTr="00D8789B">
        <w:trPr>
          <w:cantSplit/>
          <w:trHeight w:val="567"/>
          <w:tblHeader/>
        </w:trPr>
        <w:tc>
          <w:tcPr>
            <w:tcW w:w="569" w:type="pct"/>
            <w:vAlign w:val="center"/>
          </w:tcPr>
          <w:p w14:paraId="181972ED" w14:textId="0C147297"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4</w:t>
            </w:r>
          </w:p>
        </w:tc>
        <w:tc>
          <w:tcPr>
            <w:tcW w:w="2341" w:type="pct"/>
            <w:vAlign w:val="center"/>
          </w:tcPr>
          <w:p w14:paraId="235AA4B9" w14:textId="343ECC60" w:rsidR="00B70567" w:rsidRPr="00D8789B" w:rsidRDefault="00B70567" w:rsidP="00D8789B">
            <w:pPr>
              <w:jc w:val="center"/>
              <w:rPr>
                <w:rFonts w:asciiTheme="minorEastAsia" w:hAnsiTheme="minorEastAsia"/>
                <w:bCs/>
                <w:sz w:val="18"/>
                <w:szCs w:val="18"/>
              </w:rPr>
            </w:pPr>
            <w:r w:rsidRPr="00D8789B">
              <w:rPr>
                <w:rFonts w:asciiTheme="minorEastAsia" w:hAnsiTheme="minorEastAsia" w:hint="eastAsia"/>
                <w:sz w:val="18"/>
                <w:szCs w:val="18"/>
              </w:rPr>
              <w:t>固态储氢用 氢化镁</w:t>
            </w:r>
          </w:p>
        </w:tc>
        <w:tc>
          <w:tcPr>
            <w:tcW w:w="1003" w:type="pct"/>
            <w:vAlign w:val="center"/>
          </w:tcPr>
          <w:p w14:paraId="676E10A4" w14:textId="68333B91" w:rsidR="00B70567" w:rsidRPr="00D8789B" w:rsidRDefault="00B70567" w:rsidP="00D8789B">
            <w:pPr>
              <w:jc w:val="center"/>
              <w:rPr>
                <w:rFonts w:asciiTheme="minorEastAsia" w:hAnsiTheme="minorEastAsia"/>
                <w:bCs/>
                <w:sz w:val="18"/>
                <w:szCs w:val="18"/>
              </w:rPr>
            </w:pPr>
            <w:r w:rsidRPr="00D8789B">
              <w:rPr>
                <w:rFonts w:asciiTheme="minorEastAsia" w:hAnsiTheme="minorEastAsia" w:hint="eastAsia"/>
                <w:sz w:val="18"/>
                <w:szCs w:val="18"/>
              </w:rPr>
              <w:t>团体标准</w:t>
            </w:r>
          </w:p>
        </w:tc>
        <w:tc>
          <w:tcPr>
            <w:tcW w:w="1087" w:type="pct"/>
            <w:vAlign w:val="center"/>
          </w:tcPr>
          <w:p w14:paraId="04814FB4" w14:textId="26FF78F8" w:rsidR="00B70567" w:rsidRPr="00D8789B" w:rsidRDefault="00B70567" w:rsidP="00D8789B">
            <w:pPr>
              <w:jc w:val="center"/>
              <w:rPr>
                <w:rFonts w:asciiTheme="minorEastAsia" w:hAnsiTheme="minorEastAsia"/>
                <w:bCs/>
                <w:sz w:val="18"/>
                <w:szCs w:val="18"/>
              </w:rPr>
            </w:pPr>
            <w:r w:rsidRPr="00D8789B">
              <w:rPr>
                <w:rFonts w:asciiTheme="minorEastAsia" w:hAnsiTheme="minorEastAsia" w:hint="eastAsia"/>
                <w:color w:val="000000" w:themeColor="text1"/>
                <w:kern w:val="0"/>
                <w:sz w:val="18"/>
                <w:szCs w:val="18"/>
              </w:rPr>
              <w:t>301</w:t>
            </w:r>
          </w:p>
        </w:tc>
      </w:tr>
      <w:tr w:rsidR="00B70567" w:rsidRPr="00D8789B" w14:paraId="48CDD170" w14:textId="77777777" w:rsidTr="00D8789B">
        <w:trPr>
          <w:cantSplit/>
          <w:trHeight w:val="567"/>
          <w:tblHeader/>
        </w:trPr>
        <w:tc>
          <w:tcPr>
            <w:tcW w:w="569" w:type="pct"/>
            <w:vAlign w:val="center"/>
          </w:tcPr>
          <w:p w14:paraId="3B3C1EE4" w14:textId="077CCC7F"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5</w:t>
            </w:r>
          </w:p>
        </w:tc>
        <w:tc>
          <w:tcPr>
            <w:tcW w:w="2341" w:type="pct"/>
            <w:vAlign w:val="center"/>
          </w:tcPr>
          <w:p w14:paraId="0C79E7E6" w14:textId="37B9FE56"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sz w:val="18"/>
                <w:szCs w:val="18"/>
              </w:rPr>
              <w:t>车用压缩氢气铝内胆碳纤维全缠绕气瓶</w:t>
            </w:r>
          </w:p>
        </w:tc>
        <w:tc>
          <w:tcPr>
            <w:tcW w:w="1003" w:type="pct"/>
            <w:vAlign w:val="center"/>
          </w:tcPr>
          <w:p w14:paraId="3BC21894" w14:textId="755EE82E"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2035BE2F" w14:textId="07D23C2F" w:rsidR="00B70567" w:rsidRPr="00D8789B" w:rsidRDefault="00B70567"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B70567" w:rsidRPr="00D8789B" w14:paraId="3FC7674B" w14:textId="77777777" w:rsidTr="00D8789B">
        <w:trPr>
          <w:cantSplit/>
          <w:trHeight w:val="567"/>
          <w:tblHeader/>
        </w:trPr>
        <w:tc>
          <w:tcPr>
            <w:tcW w:w="569" w:type="pct"/>
            <w:vAlign w:val="center"/>
          </w:tcPr>
          <w:p w14:paraId="69BD6B72" w14:textId="59BDDC1B"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6</w:t>
            </w:r>
          </w:p>
        </w:tc>
        <w:tc>
          <w:tcPr>
            <w:tcW w:w="2341" w:type="pct"/>
            <w:vAlign w:val="center"/>
          </w:tcPr>
          <w:p w14:paraId="22CFE495" w14:textId="54FE1CBA"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sz w:val="18"/>
                <w:szCs w:val="18"/>
              </w:rPr>
              <w:t>集装及站用压缩氢气铝内胆碳纤维全缠绕气瓶</w:t>
            </w:r>
          </w:p>
        </w:tc>
        <w:tc>
          <w:tcPr>
            <w:tcW w:w="1003" w:type="pct"/>
            <w:vAlign w:val="center"/>
          </w:tcPr>
          <w:p w14:paraId="1C80FEC0" w14:textId="33A0FAB1"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1BB9BE54" w14:textId="7EFE87F5" w:rsidR="00B70567" w:rsidRPr="00D8789B" w:rsidRDefault="00B70567"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B70567" w:rsidRPr="00D8789B" w14:paraId="50A7013F" w14:textId="77777777" w:rsidTr="00D8789B">
        <w:trPr>
          <w:cantSplit/>
          <w:trHeight w:val="567"/>
          <w:tblHeader/>
        </w:trPr>
        <w:tc>
          <w:tcPr>
            <w:tcW w:w="569" w:type="pct"/>
            <w:vAlign w:val="center"/>
          </w:tcPr>
          <w:p w14:paraId="47993244" w14:textId="63B1EBF2"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7</w:t>
            </w:r>
          </w:p>
        </w:tc>
        <w:tc>
          <w:tcPr>
            <w:tcW w:w="2341" w:type="pct"/>
            <w:vAlign w:val="center"/>
          </w:tcPr>
          <w:p w14:paraId="5B2A2B40" w14:textId="41BE1A17"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sz w:val="18"/>
                <w:szCs w:val="18"/>
              </w:rPr>
              <w:t>大容积塑料内胆碳纤维全缠绕压缩氢气瓶</w:t>
            </w:r>
          </w:p>
        </w:tc>
        <w:tc>
          <w:tcPr>
            <w:tcW w:w="1003" w:type="pct"/>
            <w:vAlign w:val="center"/>
          </w:tcPr>
          <w:p w14:paraId="7BCA1A33" w14:textId="34FBAA44"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135C2292" w14:textId="05B2CBA7" w:rsidR="00B70567" w:rsidRPr="00D8789B" w:rsidRDefault="00B70567"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B70567" w:rsidRPr="00D8789B" w14:paraId="26DA23BF" w14:textId="77777777" w:rsidTr="00D8789B">
        <w:trPr>
          <w:cantSplit/>
          <w:trHeight w:val="567"/>
          <w:tblHeader/>
        </w:trPr>
        <w:tc>
          <w:tcPr>
            <w:tcW w:w="569" w:type="pct"/>
            <w:vAlign w:val="center"/>
          </w:tcPr>
          <w:p w14:paraId="74A50BD1" w14:textId="3BB59195"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lastRenderedPageBreak/>
              <w:t>8</w:t>
            </w:r>
          </w:p>
        </w:tc>
        <w:tc>
          <w:tcPr>
            <w:tcW w:w="2341" w:type="pct"/>
            <w:vAlign w:val="center"/>
          </w:tcPr>
          <w:p w14:paraId="7AC339BF" w14:textId="35BFB83D"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sz w:val="18"/>
                <w:szCs w:val="18"/>
              </w:rPr>
              <w:t>金属氢化物可逆储放</w:t>
            </w:r>
            <w:proofErr w:type="gramStart"/>
            <w:r w:rsidRPr="00D8789B">
              <w:rPr>
                <w:rFonts w:asciiTheme="minorEastAsia" w:hAnsiTheme="minorEastAsia" w:hint="eastAsia"/>
                <w:color w:val="000000"/>
                <w:sz w:val="18"/>
                <w:szCs w:val="18"/>
              </w:rPr>
              <w:t>氢系统</w:t>
            </w:r>
            <w:proofErr w:type="gramEnd"/>
            <w:r w:rsidRPr="00D8789B">
              <w:rPr>
                <w:rFonts w:asciiTheme="minorEastAsia" w:hAnsiTheme="minorEastAsia" w:hint="eastAsia"/>
                <w:color w:val="000000"/>
                <w:sz w:val="18"/>
                <w:szCs w:val="18"/>
              </w:rPr>
              <w:t>用气瓶 第1部分：不锈钢焊接气瓶</w:t>
            </w:r>
          </w:p>
        </w:tc>
        <w:tc>
          <w:tcPr>
            <w:tcW w:w="1003" w:type="pct"/>
            <w:vAlign w:val="center"/>
          </w:tcPr>
          <w:p w14:paraId="2E8B5916" w14:textId="170BC538"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32E56ED8" w14:textId="373B6CB5" w:rsidR="00B70567" w:rsidRPr="00D8789B" w:rsidRDefault="00B70567"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B70567" w:rsidRPr="00D8789B" w14:paraId="365E9B8E" w14:textId="77777777" w:rsidTr="00D8789B">
        <w:trPr>
          <w:cantSplit/>
          <w:trHeight w:val="567"/>
          <w:tblHeader/>
        </w:trPr>
        <w:tc>
          <w:tcPr>
            <w:tcW w:w="569" w:type="pct"/>
            <w:vAlign w:val="center"/>
          </w:tcPr>
          <w:p w14:paraId="187ED30F" w14:textId="3F9EE5D5" w:rsidR="00B70567"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9</w:t>
            </w:r>
          </w:p>
        </w:tc>
        <w:tc>
          <w:tcPr>
            <w:tcW w:w="2341" w:type="pct"/>
            <w:vAlign w:val="center"/>
          </w:tcPr>
          <w:p w14:paraId="5473A816" w14:textId="3999ACA4"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sz w:val="18"/>
                <w:szCs w:val="18"/>
              </w:rPr>
              <w:t>金属氢化物可逆储放</w:t>
            </w:r>
            <w:proofErr w:type="gramStart"/>
            <w:r w:rsidRPr="00D8789B">
              <w:rPr>
                <w:rFonts w:asciiTheme="minorEastAsia" w:hAnsiTheme="minorEastAsia" w:hint="eastAsia"/>
                <w:color w:val="000000"/>
                <w:sz w:val="18"/>
                <w:szCs w:val="18"/>
              </w:rPr>
              <w:t>氢系统</w:t>
            </w:r>
            <w:proofErr w:type="gramEnd"/>
            <w:r w:rsidRPr="00D8789B">
              <w:rPr>
                <w:rFonts w:asciiTheme="minorEastAsia" w:hAnsiTheme="minorEastAsia" w:hint="eastAsia"/>
                <w:color w:val="000000"/>
                <w:sz w:val="18"/>
                <w:szCs w:val="18"/>
              </w:rPr>
              <w:t>用气瓶 第2部分：金属无缝气瓶</w:t>
            </w:r>
          </w:p>
        </w:tc>
        <w:tc>
          <w:tcPr>
            <w:tcW w:w="1003" w:type="pct"/>
            <w:vAlign w:val="center"/>
          </w:tcPr>
          <w:p w14:paraId="74043253" w14:textId="5780EB5D" w:rsidR="00B70567" w:rsidRPr="00D8789B" w:rsidRDefault="00B70567"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600B8E4A" w14:textId="7DC62794" w:rsidR="00B70567" w:rsidRPr="00D8789B" w:rsidRDefault="00B70567"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881FE2" w:rsidRPr="00D8789B" w14:paraId="0962B9E6" w14:textId="77777777" w:rsidTr="00D8789B">
        <w:trPr>
          <w:cantSplit/>
          <w:trHeight w:val="567"/>
          <w:tblHeader/>
        </w:trPr>
        <w:tc>
          <w:tcPr>
            <w:tcW w:w="569" w:type="pct"/>
            <w:vAlign w:val="center"/>
          </w:tcPr>
          <w:p w14:paraId="47D5CB8E" w14:textId="4DE3FB03"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10</w:t>
            </w:r>
          </w:p>
        </w:tc>
        <w:tc>
          <w:tcPr>
            <w:tcW w:w="2341" w:type="pct"/>
            <w:vAlign w:val="center"/>
          </w:tcPr>
          <w:p w14:paraId="6FEEEDD6" w14:textId="2C0F8014" w:rsidR="00881FE2" w:rsidRPr="00D8789B" w:rsidRDefault="00881FE2" w:rsidP="00D8789B">
            <w:pPr>
              <w:jc w:val="center"/>
              <w:rPr>
                <w:rFonts w:asciiTheme="minorEastAsia" w:hAnsiTheme="minorEastAsia"/>
                <w:color w:val="000000"/>
                <w:sz w:val="18"/>
                <w:szCs w:val="18"/>
              </w:rPr>
            </w:pPr>
            <w:proofErr w:type="gramStart"/>
            <w:r w:rsidRPr="00D8789B">
              <w:rPr>
                <w:rFonts w:asciiTheme="minorEastAsia" w:hAnsiTheme="minorEastAsia" w:hint="eastAsia"/>
                <w:color w:val="000000"/>
                <w:sz w:val="18"/>
                <w:szCs w:val="18"/>
              </w:rPr>
              <w:t>输氢管道</w:t>
            </w:r>
            <w:proofErr w:type="gramEnd"/>
            <w:r w:rsidRPr="00D8789B">
              <w:rPr>
                <w:rFonts w:asciiTheme="minorEastAsia" w:hAnsiTheme="minorEastAsia" w:hint="eastAsia"/>
                <w:color w:val="000000"/>
                <w:sz w:val="18"/>
                <w:szCs w:val="18"/>
              </w:rPr>
              <w:t>安全技术规范</w:t>
            </w:r>
          </w:p>
        </w:tc>
        <w:tc>
          <w:tcPr>
            <w:tcW w:w="1003" w:type="pct"/>
            <w:vAlign w:val="center"/>
          </w:tcPr>
          <w:p w14:paraId="3C27101F" w14:textId="4A3CD60F"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color w:val="000000"/>
                <w:kern w:val="0"/>
                <w:sz w:val="18"/>
                <w:szCs w:val="18"/>
              </w:rPr>
              <w:t>团体标准</w:t>
            </w:r>
          </w:p>
        </w:tc>
        <w:tc>
          <w:tcPr>
            <w:tcW w:w="1087" w:type="pct"/>
            <w:vAlign w:val="center"/>
          </w:tcPr>
          <w:p w14:paraId="41A245F6" w14:textId="1AECCE26"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302</w:t>
            </w:r>
          </w:p>
        </w:tc>
      </w:tr>
      <w:tr w:rsidR="00881FE2" w:rsidRPr="00D8789B" w14:paraId="7E3BB3FC" w14:textId="77777777" w:rsidTr="00D8789B">
        <w:trPr>
          <w:cantSplit/>
          <w:trHeight w:val="567"/>
          <w:tblHeader/>
        </w:trPr>
        <w:tc>
          <w:tcPr>
            <w:tcW w:w="569" w:type="pct"/>
            <w:vAlign w:val="center"/>
          </w:tcPr>
          <w:p w14:paraId="4719739A" w14:textId="3E218BBD"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11</w:t>
            </w:r>
          </w:p>
        </w:tc>
        <w:tc>
          <w:tcPr>
            <w:tcW w:w="2341" w:type="pct"/>
            <w:vAlign w:val="center"/>
          </w:tcPr>
          <w:p w14:paraId="3674A62D" w14:textId="5374B8D7" w:rsidR="00881FE2" w:rsidRPr="00D8789B" w:rsidRDefault="00881FE2" w:rsidP="00D8789B">
            <w:pPr>
              <w:jc w:val="center"/>
              <w:rPr>
                <w:rFonts w:asciiTheme="minorEastAsia" w:hAnsiTheme="minorEastAsia"/>
                <w:color w:val="000000"/>
                <w:sz w:val="18"/>
                <w:szCs w:val="18"/>
              </w:rPr>
            </w:pPr>
            <w:r w:rsidRPr="00D8789B">
              <w:rPr>
                <w:rFonts w:asciiTheme="minorEastAsia" w:hAnsiTheme="minorEastAsia" w:hint="eastAsia"/>
                <w:sz w:val="18"/>
                <w:szCs w:val="18"/>
              </w:rPr>
              <w:t>加氢站用氢气压缩机技术要求</w:t>
            </w:r>
          </w:p>
        </w:tc>
        <w:tc>
          <w:tcPr>
            <w:tcW w:w="1003" w:type="pct"/>
            <w:vAlign w:val="center"/>
          </w:tcPr>
          <w:p w14:paraId="3417CDE9" w14:textId="24577015"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color w:val="000000"/>
                <w:kern w:val="0"/>
                <w:sz w:val="18"/>
                <w:szCs w:val="18"/>
              </w:rPr>
              <w:t>团体标准</w:t>
            </w:r>
          </w:p>
        </w:tc>
        <w:tc>
          <w:tcPr>
            <w:tcW w:w="1087" w:type="pct"/>
            <w:vAlign w:val="center"/>
          </w:tcPr>
          <w:p w14:paraId="10433B04" w14:textId="49739E89"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401</w:t>
            </w:r>
          </w:p>
        </w:tc>
      </w:tr>
      <w:tr w:rsidR="00881FE2" w:rsidRPr="00D8789B" w14:paraId="6AFF5EDA" w14:textId="77777777" w:rsidTr="00D8789B">
        <w:trPr>
          <w:cantSplit/>
          <w:trHeight w:val="567"/>
          <w:tblHeader/>
        </w:trPr>
        <w:tc>
          <w:tcPr>
            <w:tcW w:w="569" w:type="pct"/>
            <w:vAlign w:val="center"/>
          </w:tcPr>
          <w:p w14:paraId="11E0E023" w14:textId="27FAAFD9"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12</w:t>
            </w:r>
          </w:p>
        </w:tc>
        <w:tc>
          <w:tcPr>
            <w:tcW w:w="2341" w:type="pct"/>
            <w:vAlign w:val="center"/>
          </w:tcPr>
          <w:p w14:paraId="7B035842" w14:textId="18F68CB0"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加氢站用液氢储氢容器</w:t>
            </w:r>
          </w:p>
        </w:tc>
        <w:tc>
          <w:tcPr>
            <w:tcW w:w="1003" w:type="pct"/>
            <w:vAlign w:val="center"/>
          </w:tcPr>
          <w:p w14:paraId="4A5DC8FF" w14:textId="45800D3C"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sz w:val="18"/>
                <w:szCs w:val="18"/>
              </w:rPr>
              <w:t>团体标准</w:t>
            </w:r>
          </w:p>
        </w:tc>
        <w:tc>
          <w:tcPr>
            <w:tcW w:w="1087" w:type="pct"/>
            <w:vAlign w:val="center"/>
          </w:tcPr>
          <w:p w14:paraId="0AF4C392" w14:textId="1037AB91"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401</w:t>
            </w:r>
          </w:p>
        </w:tc>
      </w:tr>
      <w:tr w:rsidR="00881FE2" w:rsidRPr="00D8789B" w14:paraId="4F0DE71D" w14:textId="77777777" w:rsidTr="00D8789B">
        <w:trPr>
          <w:cantSplit/>
          <w:trHeight w:val="567"/>
          <w:tblHeader/>
        </w:trPr>
        <w:tc>
          <w:tcPr>
            <w:tcW w:w="569" w:type="pct"/>
            <w:vAlign w:val="center"/>
          </w:tcPr>
          <w:p w14:paraId="40F27C72" w14:textId="5738D7AB"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13</w:t>
            </w:r>
          </w:p>
        </w:tc>
        <w:tc>
          <w:tcPr>
            <w:tcW w:w="2341" w:type="pct"/>
            <w:vAlign w:val="center"/>
          </w:tcPr>
          <w:p w14:paraId="319D054B" w14:textId="4029C85A"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氢燃料电池船舶加氢过程安全管理规范</w:t>
            </w:r>
          </w:p>
        </w:tc>
        <w:tc>
          <w:tcPr>
            <w:tcW w:w="1003" w:type="pct"/>
            <w:vAlign w:val="center"/>
          </w:tcPr>
          <w:p w14:paraId="6FE0ECF4" w14:textId="40B098CC"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color w:val="000000"/>
                <w:kern w:val="0"/>
                <w:sz w:val="18"/>
                <w:szCs w:val="18"/>
              </w:rPr>
              <w:t>地方标准</w:t>
            </w:r>
          </w:p>
        </w:tc>
        <w:tc>
          <w:tcPr>
            <w:tcW w:w="1087" w:type="pct"/>
            <w:vAlign w:val="center"/>
          </w:tcPr>
          <w:p w14:paraId="22EF3D43" w14:textId="51E29304"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403</w:t>
            </w:r>
          </w:p>
        </w:tc>
      </w:tr>
      <w:tr w:rsidR="00881FE2" w:rsidRPr="00D8789B" w14:paraId="01B08869" w14:textId="77777777" w:rsidTr="00D8789B">
        <w:trPr>
          <w:cantSplit/>
          <w:trHeight w:val="567"/>
          <w:tblHeader/>
        </w:trPr>
        <w:tc>
          <w:tcPr>
            <w:tcW w:w="569" w:type="pct"/>
            <w:vAlign w:val="center"/>
          </w:tcPr>
          <w:p w14:paraId="5C26D7C7" w14:textId="3AB6B208"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14</w:t>
            </w:r>
          </w:p>
        </w:tc>
        <w:tc>
          <w:tcPr>
            <w:tcW w:w="2341" w:type="pct"/>
            <w:vAlign w:val="center"/>
          </w:tcPr>
          <w:p w14:paraId="5930D06C" w14:textId="7E976995"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船用氢燃料电池监控装置</w:t>
            </w:r>
          </w:p>
        </w:tc>
        <w:tc>
          <w:tcPr>
            <w:tcW w:w="1003" w:type="pct"/>
            <w:vAlign w:val="center"/>
          </w:tcPr>
          <w:p w14:paraId="40B8A4FD" w14:textId="11BA6960"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sz w:val="18"/>
                <w:szCs w:val="18"/>
              </w:rPr>
              <w:t>团体标准</w:t>
            </w:r>
          </w:p>
        </w:tc>
        <w:tc>
          <w:tcPr>
            <w:tcW w:w="1087" w:type="pct"/>
            <w:vAlign w:val="center"/>
          </w:tcPr>
          <w:p w14:paraId="069E4B04" w14:textId="5AC74CEB"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sz w:val="18"/>
                <w:szCs w:val="18"/>
              </w:rPr>
              <w:t>502</w:t>
            </w:r>
          </w:p>
        </w:tc>
      </w:tr>
      <w:tr w:rsidR="00881FE2" w:rsidRPr="00D8789B" w14:paraId="5197FCAD" w14:textId="77777777" w:rsidTr="00D8789B">
        <w:trPr>
          <w:cantSplit/>
          <w:trHeight w:val="567"/>
          <w:tblHeader/>
        </w:trPr>
        <w:tc>
          <w:tcPr>
            <w:tcW w:w="569" w:type="pct"/>
            <w:vAlign w:val="center"/>
          </w:tcPr>
          <w:p w14:paraId="23B89248" w14:textId="0DD8C0DD"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15</w:t>
            </w:r>
          </w:p>
        </w:tc>
        <w:tc>
          <w:tcPr>
            <w:tcW w:w="2341" w:type="pct"/>
            <w:vAlign w:val="center"/>
          </w:tcPr>
          <w:p w14:paraId="7AD0A946" w14:textId="5BA676E6"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氢燃料电池/超级电容混合动力控制要求</w:t>
            </w:r>
          </w:p>
        </w:tc>
        <w:tc>
          <w:tcPr>
            <w:tcW w:w="1003" w:type="pct"/>
            <w:vAlign w:val="center"/>
          </w:tcPr>
          <w:p w14:paraId="31FAC975" w14:textId="1C2C4713"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sz w:val="18"/>
                <w:szCs w:val="18"/>
              </w:rPr>
              <w:t>团体标准</w:t>
            </w:r>
          </w:p>
        </w:tc>
        <w:tc>
          <w:tcPr>
            <w:tcW w:w="1087" w:type="pct"/>
            <w:vAlign w:val="center"/>
          </w:tcPr>
          <w:p w14:paraId="7D0F5E0C" w14:textId="5A9A4334"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sz w:val="18"/>
                <w:szCs w:val="18"/>
              </w:rPr>
              <w:t>502</w:t>
            </w:r>
          </w:p>
        </w:tc>
      </w:tr>
      <w:tr w:rsidR="00881FE2" w:rsidRPr="00D8789B" w14:paraId="6C41E53C" w14:textId="77777777" w:rsidTr="00D8789B">
        <w:trPr>
          <w:cantSplit/>
          <w:trHeight w:val="567"/>
          <w:tblHeader/>
        </w:trPr>
        <w:tc>
          <w:tcPr>
            <w:tcW w:w="569" w:type="pct"/>
            <w:vAlign w:val="center"/>
          </w:tcPr>
          <w:p w14:paraId="014F10CB" w14:textId="4F6B9D99"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16</w:t>
            </w:r>
          </w:p>
        </w:tc>
        <w:tc>
          <w:tcPr>
            <w:tcW w:w="2341" w:type="pct"/>
            <w:vAlign w:val="center"/>
          </w:tcPr>
          <w:p w14:paraId="5143ECC0" w14:textId="07C909A1"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氢燃料电池飞行器技术要求</w:t>
            </w:r>
          </w:p>
        </w:tc>
        <w:tc>
          <w:tcPr>
            <w:tcW w:w="1003" w:type="pct"/>
            <w:vAlign w:val="center"/>
          </w:tcPr>
          <w:p w14:paraId="35DE53A6" w14:textId="468310A6"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sz w:val="18"/>
                <w:szCs w:val="18"/>
              </w:rPr>
              <w:t>团体标准</w:t>
            </w:r>
          </w:p>
        </w:tc>
        <w:tc>
          <w:tcPr>
            <w:tcW w:w="1087" w:type="pct"/>
            <w:vAlign w:val="center"/>
          </w:tcPr>
          <w:p w14:paraId="2D3BDAB4" w14:textId="6BF50DA9"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sz w:val="18"/>
                <w:szCs w:val="18"/>
              </w:rPr>
              <w:t>502</w:t>
            </w:r>
          </w:p>
        </w:tc>
      </w:tr>
      <w:tr w:rsidR="00881FE2" w:rsidRPr="00D8789B" w14:paraId="60BAC6CE" w14:textId="77777777" w:rsidTr="00D8789B">
        <w:trPr>
          <w:cantSplit/>
          <w:trHeight w:val="567"/>
          <w:tblHeader/>
        </w:trPr>
        <w:tc>
          <w:tcPr>
            <w:tcW w:w="569" w:type="pct"/>
            <w:vAlign w:val="center"/>
          </w:tcPr>
          <w:p w14:paraId="750B2C49" w14:textId="6E89E313"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17</w:t>
            </w:r>
          </w:p>
        </w:tc>
        <w:tc>
          <w:tcPr>
            <w:tcW w:w="2341" w:type="pct"/>
            <w:vAlign w:val="center"/>
          </w:tcPr>
          <w:p w14:paraId="48AEDC50" w14:textId="61ACE067" w:rsidR="00881FE2" w:rsidRPr="00D8789B" w:rsidRDefault="00881FE2" w:rsidP="00D8789B">
            <w:pPr>
              <w:jc w:val="center"/>
              <w:rPr>
                <w:rFonts w:asciiTheme="minorEastAsia" w:hAnsiTheme="minorEastAsia"/>
                <w:sz w:val="18"/>
                <w:szCs w:val="18"/>
              </w:rPr>
            </w:pPr>
            <w:proofErr w:type="gramStart"/>
            <w:r w:rsidRPr="00D8789B">
              <w:rPr>
                <w:rFonts w:asciiTheme="minorEastAsia" w:hAnsiTheme="minorEastAsia" w:hint="eastAsia"/>
                <w:sz w:val="18"/>
                <w:szCs w:val="18"/>
              </w:rPr>
              <w:t>氢系统</w:t>
            </w:r>
            <w:proofErr w:type="gramEnd"/>
            <w:r w:rsidRPr="00D8789B">
              <w:rPr>
                <w:rFonts w:asciiTheme="minorEastAsia" w:hAnsiTheme="minorEastAsia" w:hint="eastAsia"/>
                <w:sz w:val="18"/>
                <w:szCs w:val="18"/>
              </w:rPr>
              <w:t>泄漏率测试方法</w:t>
            </w:r>
          </w:p>
        </w:tc>
        <w:tc>
          <w:tcPr>
            <w:tcW w:w="1003" w:type="pct"/>
            <w:vAlign w:val="center"/>
          </w:tcPr>
          <w:p w14:paraId="7746C333" w14:textId="65B69E52" w:rsidR="00881FE2" w:rsidRPr="00D8789B" w:rsidRDefault="00881FE2" w:rsidP="00D8789B">
            <w:pPr>
              <w:jc w:val="center"/>
              <w:rPr>
                <w:rFonts w:asciiTheme="minorEastAsia" w:hAnsiTheme="minorEastAsia"/>
                <w:color w:val="000000"/>
                <w:kern w:val="0"/>
                <w:sz w:val="18"/>
                <w:szCs w:val="18"/>
              </w:rPr>
            </w:pPr>
            <w:r w:rsidRPr="00D8789B">
              <w:rPr>
                <w:rFonts w:asciiTheme="minorEastAsia" w:hAnsiTheme="minorEastAsia" w:hint="eastAsia"/>
                <w:color w:val="000000"/>
                <w:kern w:val="0"/>
                <w:sz w:val="18"/>
                <w:szCs w:val="18"/>
              </w:rPr>
              <w:t>国家标准</w:t>
            </w:r>
          </w:p>
        </w:tc>
        <w:tc>
          <w:tcPr>
            <w:tcW w:w="1087" w:type="pct"/>
            <w:vAlign w:val="center"/>
          </w:tcPr>
          <w:p w14:paraId="70BB6912" w14:textId="29E4AAAC" w:rsidR="00881FE2" w:rsidRPr="00D8789B" w:rsidRDefault="00881FE2" w:rsidP="00D8789B">
            <w:pPr>
              <w:jc w:val="center"/>
              <w:rPr>
                <w:rFonts w:asciiTheme="minorEastAsia" w:hAnsiTheme="minorEastAsia"/>
                <w:color w:val="000000" w:themeColor="text1"/>
                <w:kern w:val="0"/>
                <w:sz w:val="18"/>
                <w:szCs w:val="18"/>
              </w:rPr>
            </w:pPr>
            <w:r w:rsidRPr="00D8789B">
              <w:rPr>
                <w:rFonts w:asciiTheme="minorEastAsia" w:hAnsiTheme="minorEastAsia" w:hint="eastAsia"/>
                <w:color w:val="000000" w:themeColor="text1"/>
                <w:kern w:val="0"/>
                <w:sz w:val="18"/>
                <w:szCs w:val="18"/>
              </w:rPr>
              <w:t>602</w:t>
            </w:r>
          </w:p>
        </w:tc>
      </w:tr>
      <w:tr w:rsidR="00881FE2" w:rsidRPr="00D8789B" w14:paraId="500FE4A8" w14:textId="77777777" w:rsidTr="00D8789B">
        <w:trPr>
          <w:cantSplit/>
          <w:trHeight w:val="567"/>
          <w:tblHeader/>
        </w:trPr>
        <w:tc>
          <w:tcPr>
            <w:tcW w:w="569" w:type="pct"/>
            <w:vAlign w:val="center"/>
          </w:tcPr>
          <w:p w14:paraId="465B4D15" w14:textId="3AD950B4"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18</w:t>
            </w:r>
          </w:p>
        </w:tc>
        <w:tc>
          <w:tcPr>
            <w:tcW w:w="2341" w:type="pct"/>
            <w:vAlign w:val="center"/>
          </w:tcPr>
          <w:p w14:paraId="37A909B4" w14:textId="0CC3CF69"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kern w:val="0"/>
                <w:sz w:val="18"/>
                <w:szCs w:val="18"/>
              </w:rPr>
              <w:t>碱性水电解用聚苯</w:t>
            </w:r>
            <w:proofErr w:type="gramStart"/>
            <w:r w:rsidRPr="00D8789B">
              <w:rPr>
                <w:rFonts w:asciiTheme="minorEastAsia" w:hAnsiTheme="minorEastAsia" w:hint="eastAsia"/>
                <w:kern w:val="0"/>
                <w:sz w:val="18"/>
                <w:szCs w:val="18"/>
              </w:rPr>
              <w:t>硫醚膜性能</w:t>
            </w:r>
            <w:proofErr w:type="gramEnd"/>
            <w:r w:rsidRPr="00D8789B">
              <w:rPr>
                <w:rFonts w:asciiTheme="minorEastAsia" w:hAnsiTheme="minorEastAsia" w:hint="eastAsia"/>
                <w:kern w:val="0"/>
                <w:sz w:val="18"/>
                <w:szCs w:val="18"/>
              </w:rPr>
              <w:t>测试方法</w:t>
            </w:r>
          </w:p>
        </w:tc>
        <w:tc>
          <w:tcPr>
            <w:tcW w:w="1003" w:type="pct"/>
            <w:vAlign w:val="center"/>
          </w:tcPr>
          <w:p w14:paraId="6AE60785" w14:textId="673CC064"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国家标准</w:t>
            </w:r>
          </w:p>
        </w:tc>
        <w:tc>
          <w:tcPr>
            <w:tcW w:w="1087" w:type="pct"/>
            <w:vAlign w:val="center"/>
          </w:tcPr>
          <w:p w14:paraId="15BB5DF3" w14:textId="20AD9977"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603</w:t>
            </w:r>
          </w:p>
        </w:tc>
      </w:tr>
      <w:tr w:rsidR="00881FE2" w:rsidRPr="00D8789B" w14:paraId="4584C9B1" w14:textId="77777777" w:rsidTr="00D8789B">
        <w:trPr>
          <w:cantSplit/>
          <w:trHeight w:val="567"/>
          <w:tblHeader/>
        </w:trPr>
        <w:tc>
          <w:tcPr>
            <w:tcW w:w="569" w:type="pct"/>
            <w:vAlign w:val="center"/>
          </w:tcPr>
          <w:p w14:paraId="3E63C2AE" w14:textId="3DF9EC85" w:rsidR="00881FE2" w:rsidRPr="00D8789B" w:rsidRDefault="00D8789B" w:rsidP="00D8789B">
            <w:pPr>
              <w:jc w:val="center"/>
              <w:rPr>
                <w:rFonts w:asciiTheme="minorEastAsia" w:hAnsiTheme="minorEastAsia"/>
                <w:bCs/>
                <w:sz w:val="18"/>
                <w:szCs w:val="18"/>
              </w:rPr>
            </w:pPr>
            <w:r w:rsidRPr="00D8789B">
              <w:rPr>
                <w:rFonts w:asciiTheme="minorEastAsia" w:hAnsiTheme="minorEastAsia" w:hint="eastAsia"/>
                <w:bCs/>
                <w:sz w:val="18"/>
                <w:szCs w:val="18"/>
              </w:rPr>
              <w:t>19</w:t>
            </w:r>
          </w:p>
        </w:tc>
        <w:tc>
          <w:tcPr>
            <w:tcW w:w="2341" w:type="pct"/>
            <w:vAlign w:val="center"/>
          </w:tcPr>
          <w:p w14:paraId="1430681A" w14:textId="2B39C0F9"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车用高压储氢气瓶气压循环试验方法</w:t>
            </w:r>
          </w:p>
        </w:tc>
        <w:tc>
          <w:tcPr>
            <w:tcW w:w="1003" w:type="pct"/>
            <w:vAlign w:val="center"/>
          </w:tcPr>
          <w:p w14:paraId="20166D96" w14:textId="0E31E808"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国家标准</w:t>
            </w:r>
          </w:p>
        </w:tc>
        <w:tc>
          <w:tcPr>
            <w:tcW w:w="1087" w:type="pct"/>
            <w:vAlign w:val="center"/>
          </w:tcPr>
          <w:p w14:paraId="1776D98E" w14:textId="2B9F30A2"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604</w:t>
            </w:r>
          </w:p>
        </w:tc>
      </w:tr>
      <w:tr w:rsidR="00881FE2" w:rsidRPr="00D8789B" w14:paraId="26C045A1" w14:textId="77777777" w:rsidTr="00D8789B">
        <w:trPr>
          <w:cantSplit/>
          <w:trHeight w:val="567"/>
        </w:trPr>
        <w:tc>
          <w:tcPr>
            <w:tcW w:w="569" w:type="pct"/>
            <w:vAlign w:val="center"/>
          </w:tcPr>
          <w:p w14:paraId="643F9B37" w14:textId="37F39012" w:rsidR="00881FE2"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20</w:t>
            </w:r>
          </w:p>
        </w:tc>
        <w:tc>
          <w:tcPr>
            <w:tcW w:w="2341" w:type="pct"/>
            <w:vAlign w:val="center"/>
          </w:tcPr>
          <w:p w14:paraId="77326FA8" w14:textId="2050301A"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质子交换膜燃料电池 控制系统技术要求</w:t>
            </w:r>
          </w:p>
        </w:tc>
        <w:tc>
          <w:tcPr>
            <w:tcW w:w="1003" w:type="pct"/>
            <w:vAlign w:val="center"/>
          </w:tcPr>
          <w:p w14:paraId="64F288B3" w14:textId="3F52179B"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国家标准</w:t>
            </w:r>
          </w:p>
        </w:tc>
        <w:tc>
          <w:tcPr>
            <w:tcW w:w="1087" w:type="pct"/>
            <w:vAlign w:val="center"/>
          </w:tcPr>
          <w:p w14:paraId="477320DB" w14:textId="1AB12FF4"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606</w:t>
            </w:r>
          </w:p>
        </w:tc>
      </w:tr>
      <w:tr w:rsidR="00881FE2" w:rsidRPr="00D8789B" w14:paraId="26C70C29" w14:textId="77777777" w:rsidTr="00D8789B">
        <w:trPr>
          <w:cantSplit/>
          <w:trHeight w:val="567"/>
        </w:trPr>
        <w:tc>
          <w:tcPr>
            <w:tcW w:w="569" w:type="pct"/>
            <w:vAlign w:val="center"/>
          </w:tcPr>
          <w:p w14:paraId="19FB96DA" w14:textId="15EACFA5" w:rsidR="00881FE2"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21</w:t>
            </w:r>
          </w:p>
        </w:tc>
        <w:tc>
          <w:tcPr>
            <w:tcW w:w="2341" w:type="pct"/>
            <w:vAlign w:val="center"/>
          </w:tcPr>
          <w:p w14:paraId="63D6D733" w14:textId="409EE812"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燃料电池电流密度分布测试方法</w:t>
            </w:r>
          </w:p>
        </w:tc>
        <w:tc>
          <w:tcPr>
            <w:tcW w:w="1003" w:type="pct"/>
            <w:vAlign w:val="center"/>
          </w:tcPr>
          <w:p w14:paraId="440AAD99" w14:textId="21427335"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团体标准</w:t>
            </w:r>
          </w:p>
        </w:tc>
        <w:tc>
          <w:tcPr>
            <w:tcW w:w="1087" w:type="pct"/>
            <w:vAlign w:val="center"/>
          </w:tcPr>
          <w:p w14:paraId="68B299E6" w14:textId="0D4A7B51" w:rsidR="00881FE2" w:rsidRPr="00D8789B" w:rsidRDefault="00881FE2" w:rsidP="00D8789B">
            <w:pPr>
              <w:jc w:val="center"/>
              <w:rPr>
                <w:rFonts w:asciiTheme="minorEastAsia" w:hAnsiTheme="minorEastAsia"/>
                <w:sz w:val="18"/>
                <w:szCs w:val="18"/>
              </w:rPr>
            </w:pPr>
            <w:r w:rsidRPr="00D8789B">
              <w:rPr>
                <w:rFonts w:asciiTheme="minorEastAsia" w:hAnsiTheme="minorEastAsia" w:hint="eastAsia"/>
                <w:sz w:val="18"/>
                <w:szCs w:val="18"/>
              </w:rPr>
              <w:t>606</w:t>
            </w:r>
          </w:p>
        </w:tc>
      </w:tr>
      <w:tr w:rsidR="00D8789B" w:rsidRPr="00D8789B" w14:paraId="7B1BAED7" w14:textId="77777777" w:rsidTr="00D8789B">
        <w:trPr>
          <w:cantSplit/>
          <w:trHeight w:val="567"/>
        </w:trPr>
        <w:tc>
          <w:tcPr>
            <w:tcW w:w="569" w:type="pct"/>
            <w:vAlign w:val="center"/>
          </w:tcPr>
          <w:p w14:paraId="66A938C6" w14:textId="6C2C9CE5"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22</w:t>
            </w:r>
          </w:p>
        </w:tc>
        <w:tc>
          <w:tcPr>
            <w:tcW w:w="2341" w:type="pct"/>
            <w:vAlign w:val="center"/>
          </w:tcPr>
          <w:p w14:paraId="04F4039D" w14:textId="408C2F1D"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质子交换膜燃料电池发电系统 振动测试方法</w:t>
            </w:r>
          </w:p>
        </w:tc>
        <w:tc>
          <w:tcPr>
            <w:tcW w:w="1003" w:type="pct"/>
            <w:vAlign w:val="center"/>
          </w:tcPr>
          <w:p w14:paraId="203B3EEE" w14:textId="5CF84227"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国家标准</w:t>
            </w:r>
          </w:p>
        </w:tc>
        <w:tc>
          <w:tcPr>
            <w:tcW w:w="1087" w:type="pct"/>
            <w:vAlign w:val="center"/>
          </w:tcPr>
          <w:p w14:paraId="1BEA0056" w14:textId="3B0EAB1C"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607</w:t>
            </w:r>
          </w:p>
        </w:tc>
      </w:tr>
      <w:tr w:rsidR="00D8789B" w:rsidRPr="00D8789B" w14:paraId="003CFEAD" w14:textId="77777777" w:rsidTr="00D8789B">
        <w:trPr>
          <w:cantSplit/>
          <w:trHeight w:val="567"/>
        </w:trPr>
        <w:tc>
          <w:tcPr>
            <w:tcW w:w="569" w:type="pct"/>
            <w:vAlign w:val="center"/>
          </w:tcPr>
          <w:p w14:paraId="2D74845A" w14:textId="068BE0A0"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23</w:t>
            </w:r>
          </w:p>
        </w:tc>
        <w:tc>
          <w:tcPr>
            <w:tcW w:w="2341" w:type="pct"/>
            <w:vAlign w:val="center"/>
          </w:tcPr>
          <w:p w14:paraId="6A062F55" w14:textId="13586171"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氢气发动机出厂试验技术条件</w:t>
            </w:r>
          </w:p>
        </w:tc>
        <w:tc>
          <w:tcPr>
            <w:tcW w:w="1003" w:type="pct"/>
            <w:vAlign w:val="center"/>
          </w:tcPr>
          <w:p w14:paraId="0A52CA64" w14:textId="08C3AA1F"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团体标准</w:t>
            </w:r>
          </w:p>
        </w:tc>
        <w:tc>
          <w:tcPr>
            <w:tcW w:w="1087" w:type="pct"/>
            <w:vAlign w:val="center"/>
          </w:tcPr>
          <w:p w14:paraId="252B1122" w14:textId="55620C6D"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607</w:t>
            </w:r>
          </w:p>
        </w:tc>
      </w:tr>
      <w:tr w:rsidR="00D8789B" w:rsidRPr="00D8789B" w14:paraId="60FD8A6D" w14:textId="77777777" w:rsidTr="00D8789B">
        <w:trPr>
          <w:cantSplit/>
          <w:trHeight w:val="567"/>
        </w:trPr>
        <w:tc>
          <w:tcPr>
            <w:tcW w:w="569" w:type="pct"/>
            <w:vAlign w:val="center"/>
          </w:tcPr>
          <w:p w14:paraId="4D590563" w14:textId="79B451E2" w:rsidR="00D8789B" w:rsidRPr="00D8789B" w:rsidRDefault="00D8789B" w:rsidP="00D8789B">
            <w:pPr>
              <w:jc w:val="center"/>
              <w:rPr>
                <w:rFonts w:asciiTheme="minorEastAsia" w:hAnsiTheme="minorEastAsia"/>
                <w:sz w:val="18"/>
                <w:szCs w:val="18"/>
              </w:rPr>
            </w:pPr>
            <w:r>
              <w:rPr>
                <w:rFonts w:asciiTheme="minorEastAsia" w:hAnsiTheme="minorEastAsia" w:hint="eastAsia"/>
                <w:sz w:val="18"/>
                <w:szCs w:val="18"/>
              </w:rPr>
              <w:t>24</w:t>
            </w:r>
          </w:p>
        </w:tc>
        <w:tc>
          <w:tcPr>
            <w:tcW w:w="2341" w:type="pct"/>
            <w:vAlign w:val="center"/>
          </w:tcPr>
          <w:p w14:paraId="6B309688" w14:textId="0F191DF8" w:rsidR="00D8789B" w:rsidRPr="00D8789B" w:rsidRDefault="00D8789B" w:rsidP="00D8789B">
            <w:pPr>
              <w:jc w:val="center"/>
              <w:rPr>
                <w:rFonts w:asciiTheme="minorEastAsia" w:hAnsiTheme="minorEastAsia"/>
                <w:sz w:val="18"/>
                <w:szCs w:val="18"/>
              </w:rPr>
            </w:pPr>
            <w:r w:rsidRPr="00D8789B">
              <w:rPr>
                <w:rFonts w:asciiTheme="minorEastAsia" w:hAnsiTheme="minorEastAsia" w:hint="eastAsia"/>
                <w:sz w:val="18"/>
                <w:szCs w:val="18"/>
              </w:rPr>
              <w:t>氢燃料电池车辆高速公路运行管理规范</w:t>
            </w:r>
          </w:p>
        </w:tc>
        <w:tc>
          <w:tcPr>
            <w:tcW w:w="1003" w:type="pct"/>
            <w:vAlign w:val="center"/>
          </w:tcPr>
          <w:p w14:paraId="420BCB01" w14:textId="5D7CA8C6" w:rsidR="00D8789B" w:rsidRPr="00D8789B" w:rsidRDefault="00D8789B" w:rsidP="00D8789B">
            <w:pPr>
              <w:jc w:val="center"/>
              <w:rPr>
                <w:rFonts w:asciiTheme="minorEastAsia" w:hAnsiTheme="minorEastAsia"/>
                <w:sz w:val="18"/>
                <w:szCs w:val="18"/>
              </w:rPr>
            </w:pPr>
            <w:r>
              <w:rPr>
                <w:rFonts w:asciiTheme="minorEastAsia" w:hAnsiTheme="minorEastAsia" w:hint="eastAsia"/>
                <w:sz w:val="18"/>
                <w:szCs w:val="18"/>
              </w:rPr>
              <w:t>地方标准</w:t>
            </w:r>
          </w:p>
        </w:tc>
        <w:tc>
          <w:tcPr>
            <w:tcW w:w="1087" w:type="pct"/>
            <w:vAlign w:val="center"/>
          </w:tcPr>
          <w:p w14:paraId="5977B8E8" w14:textId="3E59BA99" w:rsidR="00D8789B" w:rsidRPr="00D8789B" w:rsidRDefault="00D8789B" w:rsidP="00D8789B">
            <w:pPr>
              <w:jc w:val="center"/>
              <w:rPr>
                <w:rFonts w:asciiTheme="minorEastAsia" w:hAnsiTheme="minorEastAsia"/>
                <w:sz w:val="18"/>
                <w:szCs w:val="18"/>
              </w:rPr>
            </w:pPr>
            <w:r>
              <w:rPr>
                <w:rFonts w:asciiTheme="minorEastAsia" w:hAnsiTheme="minorEastAsia" w:hint="eastAsia"/>
                <w:sz w:val="18"/>
                <w:szCs w:val="18"/>
              </w:rPr>
              <w:t>700</w:t>
            </w:r>
          </w:p>
        </w:tc>
      </w:tr>
    </w:tbl>
    <w:p w14:paraId="38F89A94" w14:textId="77777777" w:rsidR="00900CA3" w:rsidRDefault="00E77970">
      <w:pPr>
        <w:pStyle w:val="a9"/>
        <w:numPr>
          <w:ilvl w:val="0"/>
          <w:numId w:val="1"/>
        </w:numPr>
        <w:spacing w:beforeLines="50" w:before="156" w:afterLines="50" w:after="156"/>
        <w:rPr>
          <w:rFonts w:ascii="黑体" w:eastAsia="黑体" w:hAnsi="黑体"/>
          <w:sz w:val="32"/>
          <w:szCs w:val="32"/>
        </w:rPr>
      </w:pPr>
      <w:r>
        <w:rPr>
          <w:rFonts w:ascii="黑体" w:eastAsia="黑体" w:hAnsi="黑体" w:hint="eastAsia"/>
          <w:sz w:val="32"/>
          <w:szCs w:val="32"/>
        </w:rPr>
        <w:t>标准体系落实措施</w:t>
      </w:r>
    </w:p>
    <w:bookmarkEnd w:id="3"/>
    <w:p w14:paraId="344F00A6" w14:textId="77777777" w:rsidR="00900CA3" w:rsidRDefault="00E77970">
      <w:pPr>
        <w:pStyle w:val="a9"/>
        <w:numPr>
          <w:ilvl w:val="0"/>
          <w:numId w:val="3"/>
        </w:numPr>
        <w:spacing w:beforeLines="50" w:before="156" w:after="50"/>
        <w:rPr>
          <w:rFonts w:ascii="黑体" w:eastAsia="黑体" w:hAnsi="黑体"/>
          <w:sz w:val="32"/>
          <w:szCs w:val="32"/>
        </w:rPr>
      </w:pPr>
      <w:r>
        <w:rPr>
          <w:rFonts w:ascii="黑体" w:eastAsia="黑体" w:hAnsi="黑体" w:hint="eastAsia"/>
          <w:sz w:val="32"/>
          <w:szCs w:val="32"/>
        </w:rPr>
        <w:t>组织建设</w:t>
      </w:r>
    </w:p>
    <w:p w14:paraId="55D8B4D3"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在市科技局和市市场局的指导下，拟成立大连市氢能产业标准化工作组，全面推动氢能产业标准化体系建设。工作组的主要职责包括：制定氢能产业标准化工作路线图，明确标准体系架构和重点领域；建立氢能产业链上中下游及能源、</w:t>
      </w:r>
      <w:r>
        <w:rPr>
          <w:rFonts w:ascii="仿宋" w:eastAsia="仿宋" w:hAnsi="仿宋" w:hint="eastAsia"/>
          <w:sz w:val="32"/>
          <w:szCs w:val="32"/>
        </w:rPr>
        <w:lastRenderedPageBreak/>
        <w:t>交通、装备制造等相关行业的标准化协同机制；组织开展重点标准解读、技术推广和行业培训；跟踪标准执行情况，收集行业反馈，定期评估标准适用性，推动标准动态优化。</w:t>
      </w:r>
    </w:p>
    <w:p w14:paraId="759DD84B" w14:textId="77777777" w:rsidR="00900CA3" w:rsidRDefault="00E77970">
      <w:pPr>
        <w:pStyle w:val="a9"/>
        <w:numPr>
          <w:ilvl w:val="0"/>
          <w:numId w:val="3"/>
        </w:numPr>
        <w:spacing w:beforeLines="50" w:before="156" w:afterLines="50" w:after="156"/>
        <w:ind w:left="1077" w:hanging="1077"/>
        <w:rPr>
          <w:rFonts w:ascii="黑体" w:eastAsia="黑体" w:hAnsi="黑体"/>
          <w:sz w:val="32"/>
          <w:szCs w:val="32"/>
        </w:rPr>
      </w:pPr>
      <w:r>
        <w:rPr>
          <w:rFonts w:ascii="黑体" w:eastAsia="黑体" w:hAnsi="黑体" w:hint="eastAsia"/>
          <w:sz w:val="32"/>
          <w:szCs w:val="32"/>
        </w:rPr>
        <w:t>标准的研究与推进</w:t>
      </w:r>
    </w:p>
    <w:p w14:paraId="437FA6B0" w14:textId="77777777" w:rsidR="00900CA3" w:rsidRDefault="00E77970">
      <w:pPr>
        <w:ind w:firstLineChars="200" w:firstLine="640"/>
        <w:rPr>
          <w:rFonts w:ascii="仿宋" w:eastAsia="仿宋" w:hAnsi="仿宋"/>
          <w:sz w:val="32"/>
          <w:szCs w:val="32"/>
        </w:rPr>
      </w:pPr>
      <w:bookmarkStart w:id="6" w:name="OLE_LINK8"/>
      <w:r>
        <w:rPr>
          <w:rFonts w:ascii="仿宋" w:eastAsia="仿宋" w:hAnsi="仿宋" w:hint="eastAsia"/>
          <w:sz w:val="32"/>
          <w:szCs w:val="32"/>
        </w:rPr>
        <w:t>在推进大连市氢能产业标准体系建设过程中，同步组建氢能标准编制小组，全面负责地方标准和团体标准的研制与管理工作。该小组将以氢能产业</w:t>
      </w:r>
      <w:proofErr w:type="gramStart"/>
      <w:r>
        <w:rPr>
          <w:rFonts w:ascii="仿宋" w:eastAsia="仿宋" w:hAnsi="仿宋" w:hint="eastAsia"/>
          <w:sz w:val="32"/>
          <w:szCs w:val="32"/>
        </w:rPr>
        <w:t>链关键</w:t>
      </w:r>
      <w:proofErr w:type="gramEnd"/>
      <w:r>
        <w:rPr>
          <w:rFonts w:ascii="仿宋" w:eastAsia="仿宋" w:hAnsi="仿宋" w:hint="eastAsia"/>
          <w:sz w:val="32"/>
          <w:szCs w:val="32"/>
        </w:rPr>
        <w:t>标准制定为核心任务，同时系统分析国家现行氢能法规和强制性标准的适用性，以及定期跟踪制氢、储运、燃料电池等领域的技术演进和产品创新。</w:t>
      </w:r>
    </w:p>
    <w:bookmarkEnd w:id="6"/>
    <w:p w14:paraId="132A8814" w14:textId="77777777" w:rsidR="00900CA3" w:rsidRDefault="00E77970">
      <w:pPr>
        <w:pStyle w:val="a9"/>
        <w:numPr>
          <w:ilvl w:val="0"/>
          <w:numId w:val="3"/>
        </w:numPr>
        <w:spacing w:beforeLines="50" w:before="156" w:afterLines="50" w:after="156"/>
        <w:ind w:left="1077" w:hanging="1077"/>
        <w:rPr>
          <w:rFonts w:ascii="黑体" w:eastAsia="黑体" w:hAnsi="黑体"/>
          <w:sz w:val="32"/>
          <w:szCs w:val="32"/>
        </w:rPr>
      </w:pPr>
      <w:r>
        <w:rPr>
          <w:rFonts w:ascii="黑体" w:eastAsia="黑体" w:hAnsi="黑体" w:hint="eastAsia"/>
          <w:sz w:val="32"/>
          <w:szCs w:val="32"/>
        </w:rPr>
        <w:t>标准体系的实施</w:t>
      </w:r>
    </w:p>
    <w:p w14:paraId="61B32E72"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通过开展标准培训、技术指导和示范应用，推动标准有效落地，标准宣贯侧重于大连氢能优势项目来实施，并沿着产业</w:t>
      </w:r>
      <w:proofErr w:type="gramStart"/>
      <w:r>
        <w:rPr>
          <w:rFonts w:ascii="仿宋" w:eastAsia="仿宋" w:hAnsi="仿宋" w:hint="eastAsia"/>
          <w:sz w:val="32"/>
          <w:szCs w:val="32"/>
        </w:rPr>
        <w:t>链供应</w:t>
      </w:r>
      <w:proofErr w:type="gramEnd"/>
      <w:r>
        <w:rPr>
          <w:rFonts w:ascii="仿宋" w:eastAsia="仿宋" w:hAnsi="仿宋" w:hint="eastAsia"/>
          <w:sz w:val="32"/>
          <w:szCs w:val="32"/>
        </w:rPr>
        <w:t>链向两端延伸，逐渐覆盖全产业链。此外，建立标准实施跟踪机制，定期收集和分析标准执行数据，重点监测氢能安全、储运等关键标准的实施效果。每季度形成标准实施评估报告，及时发现和解决标准应用中的问题，为后续标准修订完善提供依据，确保标准体系持续符合产业发展需求。</w:t>
      </w:r>
    </w:p>
    <w:p w14:paraId="3209BAAF" w14:textId="77777777" w:rsidR="00900CA3" w:rsidRDefault="00E77970">
      <w:pPr>
        <w:pStyle w:val="a9"/>
        <w:numPr>
          <w:ilvl w:val="0"/>
          <w:numId w:val="3"/>
        </w:numPr>
        <w:spacing w:beforeLines="50" w:before="156" w:afterLines="50" w:after="156"/>
        <w:ind w:left="1077" w:hanging="1077"/>
        <w:rPr>
          <w:rFonts w:ascii="黑体" w:eastAsia="黑体" w:hAnsi="黑体"/>
          <w:sz w:val="32"/>
          <w:szCs w:val="32"/>
        </w:rPr>
      </w:pPr>
      <w:r>
        <w:rPr>
          <w:rFonts w:ascii="黑体" w:eastAsia="黑体" w:hAnsi="黑体" w:hint="eastAsia"/>
          <w:sz w:val="32"/>
          <w:szCs w:val="32"/>
        </w:rPr>
        <w:t>标准体系的推进</w:t>
      </w:r>
    </w:p>
    <w:p w14:paraId="3A4B9B4C" w14:textId="77777777" w:rsidR="00900CA3" w:rsidRDefault="00E77970">
      <w:pPr>
        <w:ind w:firstLineChars="200" w:firstLine="640"/>
        <w:rPr>
          <w:rFonts w:ascii="仿宋" w:eastAsia="仿宋" w:hAnsi="仿宋"/>
          <w:sz w:val="32"/>
          <w:szCs w:val="32"/>
        </w:rPr>
      </w:pPr>
      <w:r>
        <w:rPr>
          <w:rFonts w:ascii="仿宋" w:eastAsia="仿宋" w:hAnsi="仿宋" w:hint="eastAsia"/>
          <w:sz w:val="32"/>
          <w:szCs w:val="32"/>
        </w:rPr>
        <w:t>氢能产业作为清洁能源与高端装备融合的战略性新兴</w:t>
      </w:r>
      <w:r>
        <w:rPr>
          <w:rFonts w:ascii="仿宋" w:eastAsia="仿宋" w:hAnsi="仿宋" w:hint="eastAsia"/>
          <w:sz w:val="32"/>
          <w:szCs w:val="32"/>
        </w:rPr>
        <w:lastRenderedPageBreak/>
        <w:t>产业，其技术路线和商业模式正处于快速迭代阶段，新技术、新应用、新业</w:t>
      </w:r>
      <w:proofErr w:type="gramStart"/>
      <w:r>
        <w:rPr>
          <w:rFonts w:ascii="仿宋" w:eastAsia="仿宋" w:hAnsi="仿宋" w:hint="eastAsia"/>
          <w:sz w:val="32"/>
          <w:szCs w:val="32"/>
        </w:rPr>
        <w:t>态不断</w:t>
      </w:r>
      <w:proofErr w:type="gramEnd"/>
      <w:r>
        <w:rPr>
          <w:rFonts w:ascii="仿宋" w:eastAsia="仿宋" w:hAnsi="仿宋" w:hint="eastAsia"/>
          <w:sz w:val="32"/>
          <w:szCs w:val="32"/>
        </w:rPr>
        <w:t>涌现。为确保标准体系不对氢能技术创新和产业升级形成制约，大连市氢能产业标准体系将建立动态更新机制，根据技术突破和产业发展需求进行定期修订与完善。通过持续优化标准体系，充分发挥标准对氢能技术路线选择和产业生态构建的引导规范作用，推动我市氢能产业高质量发展，为实现"</w:t>
      </w:r>
      <w:proofErr w:type="gramStart"/>
      <w:r>
        <w:rPr>
          <w:rFonts w:ascii="仿宋" w:eastAsia="仿宋" w:hAnsi="仿宋" w:hint="eastAsia"/>
          <w:sz w:val="32"/>
          <w:szCs w:val="32"/>
        </w:rPr>
        <w:t>双碳"</w:t>
      </w:r>
      <w:proofErr w:type="gramEnd"/>
      <w:r>
        <w:rPr>
          <w:rFonts w:ascii="仿宋" w:eastAsia="仿宋" w:hAnsi="仿宋" w:hint="eastAsia"/>
          <w:sz w:val="32"/>
          <w:szCs w:val="32"/>
        </w:rPr>
        <w:t>目标和建设现代化能源体系提供有力支撑。</w:t>
      </w:r>
    </w:p>
    <w:sectPr w:rsidR="00900C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6135A" w14:textId="77777777" w:rsidR="00C42633" w:rsidRDefault="00C42633">
      <w:r>
        <w:separator/>
      </w:r>
    </w:p>
  </w:endnote>
  <w:endnote w:type="continuationSeparator" w:id="0">
    <w:p w14:paraId="13A273CA" w14:textId="77777777" w:rsidR="00C42633" w:rsidRDefault="00C4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58011"/>
      <w:docPartObj>
        <w:docPartGallery w:val="AutoText"/>
      </w:docPartObj>
    </w:sdtPr>
    <w:sdtEndPr/>
    <w:sdtContent>
      <w:p w14:paraId="113EE791" w14:textId="77777777" w:rsidR="00900CA3" w:rsidRDefault="00E77970">
        <w:pPr>
          <w:pStyle w:val="a3"/>
          <w:jc w:val="center"/>
        </w:pPr>
        <w:r>
          <w:fldChar w:fldCharType="begin"/>
        </w:r>
        <w:r>
          <w:instrText>PAGE   \* MERGEFORMAT</w:instrText>
        </w:r>
        <w:r>
          <w:fldChar w:fldCharType="separate"/>
        </w:r>
        <w:r w:rsidR="00C0289A" w:rsidRPr="00C0289A">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39A8F" w14:textId="77777777" w:rsidR="00C42633" w:rsidRDefault="00C42633">
      <w:r>
        <w:separator/>
      </w:r>
    </w:p>
  </w:footnote>
  <w:footnote w:type="continuationSeparator" w:id="0">
    <w:p w14:paraId="04E11ABF" w14:textId="77777777" w:rsidR="00C42633" w:rsidRDefault="00C42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14B9"/>
    <w:multiLevelType w:val="multilevel"/>
    <w:tmpl w:val="176E14B9"/>
    <w:lvl w:ilvl="0">
      <w:start w:val="1"/>
      <w:numFmt w:val="japaneseCounting"/>
      <w:lvlText w:val="（%1）"/>
      <w:lvlJc w:val="left"/>
      <w:pPr>
        <w:ind w:left="108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467244A9"/>
    <w:multiLevelType w:val="multilevel"/>
    <w:tmpl w:val="467244A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6C276F36"/>
    <w:multiLevelType w:val="multilevel"/>
    <w:tmpl w:val="6C276F36"/>
    <w:lvl w:ilvl="0">
      <w:start w:val="1"/>
      <w:numFmt w:val="japaneseCounting"/>
      <w:lvlText w:val="（%1）"/>
      <w:lvlJc w:val="left"/>
      <w:pPr>
        <w:ind w:left="108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09"/>
    <w:rsid w:val="00011820"/>
    <w:rsid w:val="0003183C"/>
    <w:rsid w:val="0003197B"/>
    <w:rsid w:val="000473F5"/>
    <w:rsid w:val="00070C9B"/>
    <w:rsid w:val="000A1F6F"/>
    <w:rsid w:val="00171B09"/>
    <w:rsid w:val="00202964"/>
    <w:rsid w:val="00227791"/>
    <w:rsid w:val="002278D2"/>
    <w:rsid w:val="00261A35"/>
    <w:rsid w:val="00287179"/>
    <w:rsid w:val="002A1505"/>
    <w:rsid w:val="002D0F3A"/>
    <w:rsid w:val="002E6F93"/>
    <w:rsid w:val="002F7526"/>
    <w:rsid w:val="003067C5"/>
    <w:rsid w:val="00324724"/>
    <w:rsid w:val="0033219F"/>
    <w:rsid w:val="00332206"/>
    <w:rsid w:val="003354D8"/>
    <w:rsid w:val="00340096"/>
    <w:rsid w:val="00367995"/>
    <w:rsid w:val="003D7641"/>
    <w:rsid w:val="003E3CC5"/>
    <w:rsid w:val="003F0447"/>
    <w:rsid w:val="003F51EA"/>
    <w:rsid w:val="004050DD"/>
    <w:rsid w:val="00453B97"/>
    <w:rsid w:val="00460362"/>
    <w:rsid w:val="004D18D0"/>
    <w:rsid w:val="004D672C"/>
    <w:rsid w:val="004E5E0E"/>
    <w:rsid w:val="00534A6A"/>
    <w:rsid w:val="005423BA"/>
    <w:rsid w:val="005476E8"/>
    <w:rsid w:val="005661AE"/>
    <w:rsid w:val="00587DEB"/>
    <w:rsid w:val="005B3D97"/>
    <w:rsid w:val="005C7CA8"/>
    <w:rsid w:val="005F4DAE"/>
    <w:rsid w:val="005F4F4F"/>
    <w:rsid w:val="005F5D8D"/>
    <w:rsid w:val="006012FF"/>
    <w:rsid w:val="006105BF"/>
    <w:rsid w:val="00622F1C"/>
    <w:rsid w:val="0067612B"/>
    <w:rsid w:val="006959B7"/>
    <w:rsid w:val="006A5C1E"/>
    <w:rsid w:val="006C2DC4"/>
    <w:rsid w:val="006C3B5C"/>
    <w:rsid w:val="006F6D02"/>
    <w:rsid w:val="00745143"/>
    <w:rsid w:val="00750936"/>
    <w:rsid w:val="00760435"/>
    <w:rsid w:val="0077559D"/>
    <w:rsid w:val="0078016B"/>
    <w:rsid w:val="0078201C"/>
    <w:rsid w:val="007C3FCA"/>
    <w:rsid w:val="007D2C9B"/>
    <w:rsid w:val="007D41DC"/>
    <w:rsid w:val="008114B3"/>
    <w:rsid w:val="00881FE2"/>
    <w:rsid w:val="008B1778"/>
    <w:rsid w:val="00900CA3"/>
    <w:rsid w:val="00905A31"/>
    <w:rsid w:val="00917CFB"/>
    <w:rsid w:val="00961C89"/>
    <w:rsid w:val="009752B1"/>
    <w:rsid w:val="0099320E"/>
    <w:rsid w:val="009B0A47"/>
    <w:rsid w:val="009C261A"/>
    <w:rsid w:val="009C4B4D"/>
    <w:rsid w:val="009C5759"/>
    <w:rsid w:val="009C7A9B"/>
    <w:rsid w:val="009E1F06"/>
    <w:rsid w:val="009E2AD9"/>
    <w:rsid w:val="00A02038"/>
    <w:rsid w:val="00A4298B"/>
    <w:rsid w:val="00A716BF"/>
    <w:rsid w:val="00A94D8D"/>
    <w:rsid w:val="00AE49B7"/>
    <w:rsid w:val="00B05BE4"/>
    <w:rsid w:val="00B12FF2"/>
    <w:rsid w:val="00B30D82"/>
    <w:rsid w:val="00B366F2"/>
    <w:rsid w:val="00B504B0"/>
    <w:rsid w:val="00B70567"/>
    <w:rsid w:val="00B80697"/>
    <w:rsid w:val="00BB2098"/>
    <w:rsid w:val="00BB3C99"/>
    <w:rsid w:val="00BC3C7D"/>
    <w:rsid w:val="00BD204C"/>
    <w:rsid w:val="00C00C04"/>
    <w:rsid w:val="00C0289A"/>
    <w:rsid w:val="00C11E62"/>
    <w:rsid w:val="00C42633"/>
    <w:rsid w:val="00CB0142"/>
    <w:rsid w:val="00CB1EF7"/>
    <w:rsid w:val="00CC3F46"/>
    <w:rsid w:val="00CC4469"/>
    <w:rsid w:val="00CD40A2"/>
    <w:rsid w:val="00D5715D"/>
    <w:rsid w:val="00D630D2"/>
    <w:rsid w:val="00D8789B"/>
    <w:rsid w:val="00D9217A"/>
    <w:rsid w:val="00DA124D"/>
    <w:rsid w:val="00DA6883"/>
    <w:rsid w:val="00DB1C97"/>
    <w:rsid w:val="00E24085"/>
    <w:rsid w:val="00E51E98"/>
    <w:rsid w:val="00E55EA5"/>
    <w:rsid w:val="00E74A8D"/>
    <w:rsid w:val="00E77970"/>
    <w:rsid w:val="00E83CF0"/>
    <w:rsid w:val="00ED18B8"/>
    <w:rsid w:val="00ED7AAB"/>
    <w:rsid w:val="00F0176E"/>
    <w:rsid w:val="00F53BB5"/>
    <w:rsid w:val="00F56E35"/>
    <w:rsid w:val="00F82949"/>
    <w:rsid w:val="00FC271B"/>
    <w:rsid w:val="28CA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2F67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uiPriority w:val="9"/>
    <w:qFormat/>
    <w:rPr>
      <w:rFonts w:asciiTheme="majorHAnsi" w:eastAsiaTheme="majorEastAsia" w:hAnsiTheme="majorHAnsi" w:cstheme="majorBidi"/>
      <w:color w:val="365F91"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365F91" w:themeColor="accent1" w:themeShade="BF"/>
      <w:sz w:val="32"/>
      <w:szCs w:val="32"/>
    </w:rPr>
  </w:style>
  <w:style w:type="character" w:customStyle="1" w:styleId="4Char">
    <w:name w:val="标题 4 Char"/>
    <w:basedOn w:val="a0"/>
    <w:link w:val="4"/>
    <w:uiPriority w:val="9"/>
    <w:semiHidden/>
    <w:rPr>
      <w:rFonts w:cstheme="majorBidi"/>
      <w:color w:val="365F91" w:themeColor="accent1" w:themeShade="BF"/>
      <w:sz w:val="28"/>
      <w:szCs w:val="28"/>
    </w:rPr>
  </w:style>
  <w:style w:type="character" w:customStyle="1" w:styleId="5Char">
    <w:name w:val="标题 5 Char"/>
    <w:basedOn w:val="a0"/>
    <w:link w:val="5"/>
    <w:uiPriority w:val="9"/>
    <w:semiHidden/>
    <w:rPr>
      <w:rFonts w:cstheme="majorBidi"/>
      <w:color w:val="365F91" w:themeColor="accent1" w:themeShade="BF"/>
      <w:sz w:val="24"/>
      <w:szCs w:val="24"/>
    </w:rPr>
  </w:style>
  <w:style w:type="character" w:customStyle="1" w:styleId="6Char">
    <w:name w:val="标题 6 Char"/>
    <w:basedOn w:val="a0"/>
    <w:link w:val="6"/>
    <w:uiPriority w:val="9"/>
    <w:semiHidden/>
    <w:rPr>
      <w:rFonts w:cstheme="majorBidi"/>
      <w:b/>
      <w:bCs/>
      <w:color w:val="365F91"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8"/>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明显强调1"/>
    <w:basedOn w:val="a0"/>
    <w:uiPriority w:val="21"/>
    <w:qFormat/>
    <w:rPr>
      <w:i/>
      <w:iCs/>
      <w:color w:val="365F91" w:themeColor="accent1" w:themeShade="BF"/>
    </w:rPr>
  </w:style>
  <w:style w:type="paragraph" w:styleId="aa">
    <w:name w:val="Intense Quote"/>
    <w:basedOn w:val="a"/>
    <w:next w:val="a"/>
    <w:link w:val="Char4"/>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明显引用 Char"/>
    <w:basedOn w:val="a0"/>
    <w:link w:val="aa"/>
    <w:uiPriority w:val="30"/>
    <w:rPr>
      <w:i/>
      <w:iCs/>
      <w:color w:val="365F91" w:themeColor="accent1" w:themeShade="BF"/>
    </w:rPr>
  </w:style>
  <w:style w:type="character" w:customStyle="1" w:styleId="11">
    <w:name w:val="明显参考1"/>
    <w:basedOn w:val="a0"/>
    <w:uiPriority w:val="32"/>
    <w:qFormat/>
    <w:rPr>
      <w:b/>
      <w:bCs/>
      <w:smallCaps/>
      <w:color w:val="365F91" w:themeColor="accent1" w:themeShade="BF"/>
      <w:spacing w:val="5"/>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uiPriority w:val="9"/>
    <w:qFormat/>
    <w:rPr>
      <w:rFonts w:asciiTheme="majorHAnsi" w:eastAsiaTheme="majorEastAsia" w:hAnsiTheme="majorHAnsi" w:cstheme="majorBidi"/>
      <w:color w:val="365F91"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365F91" w:themeColor="accent1" w:themeShade="BF"/>
      <w:sz w:val="32"/>
      <w:szCs w:val="32"/>
    </w:rPr>
  </w:style>
  <w:style w:type="character" w:customStyle="1" w:styleId="4Char">
    <w:name w:val="标题 4 Char"/>
    <w:basedOn w:val="a0"/>
    <w:link w:val="4"/>
    <w:uiPriority w:val="9"/>
    <w:semiHidden/>
    <w:rPr>
      <w:rFonts w:cstheme="majorBidi"/>
      <w:color w:val="365F91" w:themeColor="accent1" w:themeShade="BF"/>
      <w:sz w:val="28"/>
      <w:szCs w:val="28"/>
    </w:rPr>
  </w:style>
  <w:style w:type="character" w:customStyle="1" w:styleId="5Char">
    <w:name w:val="标题 5 Char"/>
    <w:basedOn w:val="a0"/>
    <w:link w:val="5"/>
    <w:uiPriority w:val="9"/>
    <w:semiHidden/>
    <w:rPr>
      <w:rFonts w:cstheme="majorBidi"/>
      <w:color w:val="365F91" w:themeColor="accent1" w:themeShade="BF"/>
      <w:sz w:val="24"/>
      <w:szCs w:val="24"/>
    </w:rPr>
  </w:style>
  <w:style w:type="character" w:customStyle="1" w:styleId="6Char">
    <w:name w:val="标题 6 Char"/>
    <w:basedOn w:val="a0"/>
    <w:link w:val="6"/>
    <w:uiPriority w:val="9"/>
    <w:semiHidden/>
    <w:rPr>
      <w:rFonts w:cstheme="majorBidi"/>
      <w:b/>
      <w:bCs/>
      <w:color w:val="365F91"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8"/>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明显强调1"/>
    <w:basedOn w:val="a0"/>
    <w:uiPriority w:val="21"/>
    <w:qFormat/>
    <w:rPr>
      <w:i/>
      <w:iCs/>
      <w:color w:val="365F91" w:themeColor="accent1" w:themeShade="BF"/>
    </w:rPr>
  </w:style>
  <w:style w:type="paragraph" w:styleId="aa">
    <w:name w:val="Intense Quote"/>
    <w:basedOn w:val="a"/>
    <w:next w:val="a"/>
    <w:link w:val="Char4"/>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明显引用 Char"/>
    <w:basedOn w:val="a0"/>
    <w:link w:val="aa"/>
    <w:uiPriority w:val="30"/>
    <w:rPr>
      <w:i/>
      <w:iCs/>
      <w:color w:val="365F91" w:themeColor="accent1" w:themeShade="BF"/>
    </w:rPr>
  </w:style>
  <w:style w:type="character" w:customStyle="1" w:styleId="11">
    <w:name w:val="明显参考1"/>
    <w:basedOn w:val="a0"/>
    <w:uiPriority w:val="32"/>
    <w:qFormat/>
    <w:rPr>
      <w:b/>
      <w:bCs/>
      <w:smallCaps/>
      <w:color w:val="365F91" w:themeColor="accent1" w:themeShade="BF"/>
      <w:spacing w:val="5"/>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8018">
      <w:bodyDiv w:val="1"/>
      <w:marLeft w:val="0"/>
      <w:marRight w:val="0"/>
      <w:marTop w:val="0"/>
      <w:marBottom w:val="0"/>
      <w:divBdr>
        <w:top w:val="none" w:sz="0" w:space="0" w:color="auto"/>
        <w:left w:val="none" w:sz="0" w:space="0" w:color="auto"/>
        <w:bottom w:val="none" w:sz="0" w:space="0" w:color="auto"/>
        <w:right w:val="none" w:sz="0" w:space="0" w:color="auto"/>
      </w:divBdr>
    </w:div>
    <w:div w:id="387150239">
      <w:bodyDiv w:val="1"/>
      <w:marLeft w:val="0"/>
      <w:marRight w:val="0"/>
      <w:marTop w:val="0"/>
      <w:marBottom w:val="0"/>
      <w:divBdr>
        <w:top w:val="none" w:sz="0" w:space="0" w:color="auto"/>
        <w:left w:val="none" w:sz="0" w:space="0" w:color="auto"/>
        <w:bottom w:val="none" w:sz="0" w:space="0" w:color="auto"/>
        <w:right w:val="none" w:sz="0" w:space="0" w:color="auto"/>
      </w:divBdr>
    </w:div>
    <w:div w:id="422193169">
      <w:bodyDiv w:val="1"/>
      <w:marLeft w:val="0"/>
      <w:marRight w:val="0"/>
      <w:marTop w:val="0"/>
      <w:marBottom w:val="0"/>
      <w:divBdr>
        <w:top w:val="none" w:sz="0" w:space="0" w:color="auto"/>
        <w:left w:val="none" w:sz="0" w:space="0" w:color="auto"/>
        <w:bottom w:val="none" w:sz="0" w:space="0" w:color="auto"/>
        <w:right w:val="none" w:sz="0" w:space="0" w:color="auto"/>
      </w:divBdr>
    </w:div>
    <w:div w:id="462115633">
      <w:bodyDiv w:val="1"/>
      <w:marLeft w:val="0"/>
      <w:marRight w:val="0"/>
      <w:marTop w:val="0"/>
      <w:marBottom w:val="0"/>
      <w:divBdr>
        <w:top w:val="none" w:sz="0" w:space="0" w:color="auto"/>
        <w:left w:val="none" w:sz="0" w:space="0" w:color="auto"/>
        <w:bottom w:val="none" w:sz="0" w:space="0" w:color="auto"/>
        <w:right w:val="none" w:sz="0" w:space="0" w:color="auto"/>
      </w:divBdr>
    </w:div>
    <w:div w:id="682320903">
      <w:bodyDiv w:val="1"/>
      <w:marLeft w:val="0"/>
      <w:marRight w:val="0"/>
      <w:marTop w:val="0"/>
      <w:marBottom w:val="0"/>
      <w:divBdr>
        <w:top w:val="none" w:sz="0" w:space="0" w:color="auto"/>
        <w:left w:val="none" w:sz="0" w:space="0" w:color="auto"/>
        <w:bottom w:val="none" w:sz="0" w:space="0" w:color="auto"/>
        <w:right w:val="none" w:sz="0" w:space="0" w:color="auto"/>
      </w:divBdr>
    </w:div>
    <w:div w:id="757364731">
      <w:bodyDiv w:val="1"/>
      <w:marLeft w:val="0"/>
      <w:marRight w:val="0"/>
      <w:marTop w:val="0"/>
      <w:marBottom w:val="0"/>
      <w:divBdr>
        <w:top w:val="none" w:sz="0" w:space="0" w:color="auto"/>
        <w:left w:val="none" w:sz="0" w:space="0" w:color="auto"/>
        <w:bottom w:val="none" w:sz="0" w:space="0" w:color="auto"/>
        <w:right w:val="none" w:sz="0" w:space="0" w:color="auto"/>
      </w:divBdr>
    </w:div>
    <w:div w:id="111124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796</Words>
  <Characters>4540</Characters>
  <Application>Microsoft Office Word</Application>
  <DocSecurity>0</DocSecurity>
  <Lines>37</Lines>
  <Paragraphs>10</Paragraphs>
  <ScaleCrop>false</ScaleCrop>
  <Company>Microsoft</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朋旭</dc:creator>
  <cp:lastModifiedBy>Administrator</cp:lastModifiedBy>
  <cp:revision>3</cp:revision>
  <cp:lastPrinted>2025-04-25T00:17:00Z</cp:lastPrinted>
  <dcterms:created xsi:type="dcterms:W3CDTF">2025-07-31T02:38:00Z</dcterms:created>
  <dcterms:modified xsi:type="dcterms:W3CDTF">2025-08-19T01:59:00Z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eyJoZGlkIjoiYjliOGZiMDEwNWY2ZjIwMTEwZjllMDY1MmVlM2YzYWQiLCJ1c2VySWQiOiI1MDM3MTMyMjcifQ==</vt:lpwstr>
  </property>
  <property fmtid="{D5CDD505-2E9C-101B-9397-08002B2CF9AE}" pid="3" name="KSOProductBuildVer">
    <vt:lpwstr>2052-12.1.0.21171</vt:lpwstr>
  </property>
  <property fmtid="{D5CDD505-2E9C-101B-9397-08002B2CF9AE}" pid="4" name="ICV">
    <vt:lpwstr>6C1EF5A46FDF459396C000B0B663C983_12</vt:lpwstr>
  </property>
</Properties>
</file>